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2F1C0" w14:textId="030C471A" w:rsidR="00792C30" w:rsidRPr="00EE0592" w:rsidRDefault="009C6CED">
      <w:pPr>
        <w:pStyle w:val="Titel"/>
        <w:rPr>
          <w:lang w:val="en-US"/>
        </w:rPr>
      </w:pPr>
      <w:bookmarkStart w:id="0" w:name="_heading=h.gjdgxs" w:colFirst="0" w:colLast="0"/>
      <w:bookmarkEnd w:id="0"/>
      <w:r>
        <w:rPr>
          <w:bCs/>
          <w:lang w:val="en-GB"/>
        </w:rPr>
        <w:t>P</w:t>
      </w:r>
      <w:r w:rsidR="00AF31DA">
        <w:rPr>
          <w:bCs/>
          <w:lang w:val="en-GB"/>
        </w:rPr>
        <w:t xml:space="preserve">ress release </w:t>
      </w:r>
    </w:p>
    <w:p w14:paraId="456135A8" w14:textId="77777777" w:rsidR="00792C30" w:rsidRPr="00EE0592" w:rsidRDefault="00AF31DA">
      <w:pPr>
        <w:jc w:val="both"/>
        <w:rPr>
          <w:b/>
          <w:color w:val="002355"/>
          <w:sz w:val="40"/>
          <w:szCs w:val="40"/>
          <w:lang w:val="en-US"/>
        </w:rPr>
      </w:pPr>
      <w:bookmarkStart w:id="1" w:name="_heading=h.30j0zll" w:colFirst="0" w:colLast="0"/>
      <w:bookmarkEnd w:id="1"/>
      <w:r>
        <w:rPr>
          <w:b/>
          <w:bCs/>
          <w:color w:val="002355"/>
          <w:sz w:val="40"/>
          <w:szCs w:val="40"/>
          <w:lang w:val="en-GB"/>
        </w:rPr>
        <w:t>Koenig &amp; Bauer meets its own forecast for 2023 and expects stable business in 2024</w:t>
      </w:r>
    </w:p>
    <w:p w14:paraId="3D543EE1" w14:textId="77777777" w:rsidR="00792C30" w:rsidRPr="00EE0592" w:rsidRDefault="00792C30">
      <w:pPr>
        <w:spacing w:after="0"/>
        <w:jc w:val="both"/>
        <w:rPr>
          <w:sz w:val="24"/>
          <w:szCs w:val="24"/>
          <w:lang w:val="en-US"/>
        </w:rPr>
      </w:pPr>
    </w:p>
    <w:p w14:paraId="63FD1733" w14:textId="77777777" w:rsidR="00792C30" w:rsidRPr="00EE0592" w:rsidRDefault="00AF31DA">
      <w:pPr>
        <w:numPr>
          <w:ilvl w:val="0"/>
          <w:numId w:val="1"/>
        </w:numPr>
        <w:spacing w:after="0"/>
        <w:jc w:val="both"/>
        <w:rPr>
          <w:sz w:val="24"/>
          <w:szCs w:val="24"/>
          <w:lang w:val="en-US"/>
        </w:rPr>
      </w:pPr>
      <w:bookmarkStart w:id="2" w:name="_heading=h.1fob9te" w:colFirst="0" w:colLast="0"/>
      <w:bookmarkEnd w:id="2"/>
      <w:r>
        <w:rPr>
          <w:sz w:val="24"/>
          <w:szCs w:val="24"/>
          <w:lang w:val="en-GB"/>
        </w:rPr>
        <w:t>Preliminary figures: revenue of €1,326.8m, EBIT of €29.9m</w:t>
      </w:r>
    </w:p>
    <w:p w14:paraId="7F6FFB15" w14:textId="77777777" w:rsidR="00792C30" w:rsidRPr="00EE0592" w:rsidRDefault="00AF31DA">
      <w:pPr>
        <w:numPr>
          <w:ilvl w:val="0"/>
          <w:numId w:val="1"/>
        </w:numPr>
        <w:spacing w:after="0"/>
        <w:jc w:val="both"/>
        <w:rPr>
          <w:sz w:val="24"/>
          <w:szCs w:val="24"/>
          <w:lang w:val="en-US"/>
        </w:rPr>
      </w:pPr>
      <w:r>
        <w:rPr>
          <w:sz w:val="24"/>
          <w:szCs w:val="24"/>
          <w:lang w:val="en-GB"/>
        </w:rPr>
        <w:t>Strong order intake for Banknote Solutions in the Special segment</w:t>
      </w:r>
    </w:p>
    <w:p w14:paraId="060042A1" w14:textId="1821C5D2" w:rsidR="00792C30" w:rsidRPr="00EE0592" w:rsidRDefault="00267777">
      <w:pPr>
        <w:numPr>
          <w:ilvl w:val="0"/>
          <w:numId w:val="1"/>
        </w:numPr>
        <w:spacing w:after="0"/>
        <w:jc w:val="both"/>
        <w:rPr>
          <w:sz w:val="24"/>
          <w:szCs w:val="24"/>
          <w:lang w:val="en-US"/>
        </w:rPr>
      </w:pPr>
      <w:r>
        <w:rPr>
          <w:sz w:val="24"/>
          <w:szCs w:val="24"/>
          <w:lang w:val="en-GB"/>
        </w:rPr>
        <w:t>Dr</w:t>
      </w:r>
      <w:r w:rsidR="00AF31DA">
        <w:rPr>
          <w:sz w:val="24"/>
          <w:szCs w:val="24"/>
          <w:lang w:val="en-GB"/>
        </w:rPr>
        <w:t xml:space="preserve"> Pleßke announces “Spotlight” programme to focus the Group on growth- and earnings-oriented business models and technologies </w:t>
      </w:r>
    </w:p>
    <w:p w14:paraId="5308C07A" w14:textId="4517C075" w:rsidR="00792C30" w:rsidRPr="00EE0592" w:rsidRDefault="00AF31DA">
      <w:pPr>
        <w:numPr>
          <w:ilvl w:val="0"/>
          <w:numId w:val="1"/>
        </w:numPr>
        <w:spacing w:after="0"/>
        <w:jc w:val="both"/>
        <w:rPr>
          <w:sz w:val="24"/>
          <w:szCs w:val="24"/>
          <w:lang w:val="en-US"/>
        </w:rPr>
      </w:pPr>
      <w:r>
        <w:rPr>
          <w:sz w:val="24"/>
          <w:szCs w:val="24"/>
          <w:lang w:val="en-GB"/>
        </w:rPr>
        <w:t xml:space="preserve">In </w:t>
      </w:r>
      <w:r w:rsidR="00267777">
        <w:rPr>
          <w:sz w:val="24"/>
          <w:szCs w:val="24"/>
          <w:lang w:val="en-GB"/>
        </w:rPr>
        <w:t>addition to his role as CFO, Dr</w:t>
      </w:r>
      <w:r>
        <w:rPr>
          <w:sz w:val="24"/>
          <w:szCs w:val="24"/>
          <w:lang w:val="en-GB"/>
        </w:rPr>
        <w:t xml:space="preserve"> </w:t>
      </w:r>
      <w:proofErr w:type="spellStart"/>
      <w:r>
        <w:rPr>
          <w:sz w:val="24"/>
          <w:szCs w:val="24"/>
          <w:lang w:val="en-GB"/>
        </w:rPr>
        <w:t>Kimmich</w:t>
      </w:r>
      <w:proofErr w:type="spellEnd"/>
      <w:r>
        <w:rPr>
          <w:sz w:val="24"/>
          <w:szCs w:val="24"/>
          <w:lang w:val="en-GB"/>
        </w:rPr>
        <w:t xml:space="preserve"> </w:t>
      </w:r>
      <w:r w:rsidR="00A8585D">
        <w:rPr>
          <w:sz w:val="24"/>
          <w:szCs w:val="24"/>
          <w:lang w:val="en-GB"/>
        </w:rPr>
        <w:t>will assume</w:t>
      </w:r>
      <w:r w:rsidR="009C6CED">
        <w:rPr>
          <w:sz w:val="24"/>
          <w:szCs w:val="24"/>
          <w:lang w:val="en-GB"/>
        </w:rPr>
        <w:t xml:space="preserve"> </w:t>
      </w:r>
      <w:r>
        <w:rPr>
          <w:sz w:val="24"/>
          <w:szCs w:val="24"/>
          <w:lang w:val="en-GB"/>
        </w:rPr>
        <w:t>responsibility for the Special segment</w:t>
      </w:r>
    </w:p>
    <w:p w14:paraId="11CCE5AF" w14:textId="446E007F" w:rsidR="00792C30" w:rsidRPr="00EE0592" w:rsidRDefault="00AF31DA">
      <w:pPr>
        <w:numPr>
          <w:ilvl w:val="0"/>
          <w:numId w:val="1"/>
        </w:numPr>
        <w:spacing w:after="0"/>
        <w:jc w:val="both"/>
        <w:rPr>
          <w:sz w:val="24"/>
          <w:szCs w:val="24"/>
          <w:lang w:val="en-US"/>
        </w:rPr>
      </w:pPr>
      <w:r>
        <w:rPr>
          <w:sz w:val="24"/>
          <w:szCs w:val="24"/>
          <w:lang w:val="en-GB"/>
        </w:rPr>
        <w:t xml:space="preserve">Outlook for 2024: </w:t>
      </w:r>
      <w:r w:rsidR="00267777">
        <w:rPr>
          <w:sz w:val="24"/>
          <w:szCs w:val="24"/>
          <w:lang w:val="en-GB"/>
        </w:rPr>
        <w:t xml:space="preserve">Operative </w:t>
      </w:r>
      <w:r>
        <w:rPr>
          <w:sz w:val="24"/>
          <w:szCs w:val="24"/>
          <w:lang w:val="en-GB"/>
        </w:rPr>
        <w:t>EBIT margin and revenue stable at the previous year’s level</w:t>
      </w:r>
    </w:p>
    <w:p w14:paraId="7C942A7C" w14:textId="4FFBE06B" w:rsidR="00792C30" w:rsidRPr="00EE0592" w:rsidRDefault="00AF31DA" w:rsidP="00364D08">
      <w:pPr>
        <w:numPr>
          <w:ilvl w:val="0"/>
          <w:numId w:val="1"/>
        </w:numPr>
        <w:spacing w:after="0"/>
        <w:jc w:val="both"/>
        <w:rPr>
          <w:sz w:val="24"/>
          <w:szCs w:val="24"/>
          <w:lang w:val="en-US"/>
        </w:rPr>
      </w:pPr>
      <w:r>
        <w:rPr>
          <w:sz w:val="24"/>
          <w:szCs w:val="24"/>
          <w:lang w:val="en-GB"/>
        </w:rPr>
        <w:t>Future dividend policy</w:t>
      </w:r>
      <w:r w:rsidR="009C6CED">
        <w:rPr>
          <w:sz w:val="24"/>
          <w:szCs w:val="24"/>
          <w:lang w:val="en-GB"/>
        </w:rPr>
        <w:t xml:space="preserve"> </w:t>
      </w:r>
      <w:r>
        <w:rPr>
          <w:sz w:val="24"/>
          <w:szCs w:val="24"/>
          <w:lang w:val="en-GB"/>
        </w:rPr>
        <w:t xml:space="preserve">with a </w:t>
      </w:r>
      <w:proofErr w:type="spellStart"/>
      <w:r>
        <w:rPr>
          <w:sz w:val="24"/>
          <w:szCs w:val="24"/>
          <w:lang w:val="en-GB"/>
        </w:rPr>
        <w:t>payout</w:t>
      </w:r>
      <w:proofErr w:type="spellEnd"/>
      <w:r>
        <w:rPr>
          <w:sz w:val="24"/>
          <w:szCs w:val="24"/>
          <w:lang w:val="en-GB"/>
        </w:rPr>
        <w:t xml:space="preserve"> ratio of 15-35%</w:t>
      </w:r>
      <w:r w:rsidR="00364D08">
        <w:rPr>
          <w:sz w:val="24"/>
          <w:szCs w:val="24"/>
          <w:lang w:val="en-GB"/>
        </w:rPr>
        <w:t xml:space="preserve"> </w:t>
      </w:r>
      <w:r w:rsidR="00364D08" w:rsidRPr="00364D08">
        <w:rPr>
          <w:sz w:val="24"/>
          <w:szCs w:val="24"/>
          <w:lang w:val="en-GB"/>
        </w:rPr>
        <w:t>resolved with</w:t>
      </w:r>
      <w:r w:rsidR="00364D08">
        <w:rPr>
          <w:sz w:val="24"/>
          <w:szCs w:val="24"/>
          <w:lang w:val="en-GB"/>
        </w:rPr>
        <w:t xml:space="preserve"> a target minimum dividend of €</w:t>
      </w:r>
      <w:r w:rsidR="00364D08" w:rsidRPr="00364D08">
        <w:rPr>
          <w:sz w:val="24"/>
          <w:szCs w:val="24"/>
          <w:lang w:val="en-GB"/>
        </w:rPr>
        <w:t>0.3 per share per year in the event of profitable business development</w:t>
      </w:r>
    </w:p>
    <w:p w14:paraId="5B2ED4ED" w14:textId="5D64E4E5" w:rsidR="00792C30" w:rsidRPr="00EE0592" w:rsidRDefault="00AF31DA">
      <w:pPr>
        <w:jc w:val="both"/>
        <w:rPr>
          <w:sz w:val="24"/>
          <w:szCs w:val="24"/>
          <w:lang w:val="en-US"/>
        </w:rPr>
      </w:pPr>
      <w:r>
        <w:rPr>
          <w:color w:val="002355"/>
          <w:sz w:val="40"/>
          <w:szCs w:val="40"/>
          <w:lang w:val="en-GB"/>
        </w:rPr>
        <w:br/>
      </w:r>
      <w:proofErr w:type="spellStart"/>
      <w:r>
        <w:rPr>
          <w:b/>
          <w:bCs/>
          <w:sz w:val="24"/>
          <w:szCs w:val="24"/>
          <w:lang w:val="en-GB"/>
        </w:rPr>
        <w:t>Würzburg</w:t>
      </w:r>
      <w:proofErr w:type="spellEnd"/>
      <w:r>
        <w:rPr>
          <w:b/>
          <w:bCs/>
          <w:sz w:val="24"/>
          <w:szCs w:val="24"/>
          <w:lang w:val="en-GB"/>
        </w:rPr>
        <w:t xml:space="preserve">, </w:t>
      </w:r>
      <w:r w:rsidR="003168AF">
        <w:rPr>
          <w:b/>
          <w:bCs/>
          <w:sz w:val="24"/>
          <w:szCs w:val="24"/>
          <w:lang w:val="en-GB"/>
        </w:rPr>
        <w:t>28</w:t>
      </w:r>
      <w:r>
        <w:rPr>
          <w:b/>
          <w:bCs/>
          <w:sz w:val="24"/>
          <w:szCs w:val="24"/>
          <w:lang w:val="en-GB"/>
        </w:rPr>
        <w:t xml:space="preserve"> February 2024 – </w:t>
      </w:r>
      <w:r>
        <w:rPr>
          <w:sz w:val="24"/>
          <w:szCs w:val="24"/>
          <w:lang w:val="en-GB"/>
        </w:rPr>
        <w:t>Koenig &amp; Bauer AG (“Koenig &amp; Bauer”, WKN: 719350 / ISIN: DE0007193500), a leading global technology provider for special printing applications with a particular focus on the packaging sector, has announced that, on the basis of its preliminary and as yet unaudited figures, it has fulfilled its own forecast for 2023.</w:t>
      </w:r>
    </w:p>
    <w:p w14:paraId="2EAB67EF" w14:textId="11000158" w:rsidR="00792C30" w:rsidRPr="00EE0592" w:rsidRDefault="00AF31DA">
      <w:pPr>
        <w:jc w:val="both"/>
        <w:rPr>
          <w:sz w:val="24"/>
          <w:szCs w:val="24"/>
          <w:lang w:val="en-US"/>
        </w:rPr>
      </w:pPr>
      <w:r>
        <w:rPr>
          <w:sz w:val="24"/>
          <w:szCs w:val="24"/>
          <w:lang w:val="en-GB"/>
        </w:rPr>
        <w:t xml:space="preserve">Despite the ongoing challenging global economic environment, which </w:t>
      </w:r>
      <w:proofErr w:type="gramStart"/>
      <w:r>
        <w:rPr>
          <w:sz w:val="24"/>
          <w:szCs w:val="24"/>
          <w:lang w:val="en-GB"/>
        </w:rPr>
        <w:t>is additionally being exacerbated</w:t>
      </w:r>
      <w:proofErr w:type="gramEnd"/>
      <w:r>
        <w:rPr>
          <w:sz w:val="24"/>
          <w:szCs w:val="24"/>
          <w:lang w:val="en-GB"/>
        </w:rPr>
        <w:t xml:space="preserve"> by a number of factors such as higher energy, material and personnel costs, Group earnings before interest and taxes (EBIT) </w:t>
      </w:r>
      <w:r w:rsidRPr="00315876">
        <w:rPr>
          <w:sz w:val="24"/>
          <w:szCs w:val="24"/>
          <w:lang w:val="en-GB"/>
        </w:rPr>
        <w:t>reached</w:t>
      </w:r>
      <w:r>
        <w:rPr>
          <w:sz w:val="24"/>
          <w:szCs w:val="24"/>
          <w:lang w:val="en-GB"/>
        </w:rPr>
        <w:t xml:space="preserve"> €29.9m. This places EBIT within the forecast range of €25m to €35m</w:t>
      </w:r>
      <w:r w:rsidR="00D84763">
        <w:rPr>
          <w:sz w:val="24"/>
          <w:szCs w:val="24"/>
          <w:lang w:val="en-GB"/>
        </w:rPr>
        <w:t xml:space="preserve">, which </w:t>
      </w:r>
      <w:proofErr w:type="gramStart"/>
      <w:r w:rsidR="00D84763">
        <w:rPr>
          <w:sz w:val="24"/>
          <w:szCs w:val="24"/>
          <w:lang w:val="en-GB"/>
        </w:rPr>
        <w:t>was</w:t>
      </w:r>
      <w:r w:rsidR="00315876">
        <w:rPr>
          <w:sz w:val="24"/>
          <w:szCs w:val="24"/>
          <w:lang w:val="en-GB"/>
        </w:rPr>
        <w:t xml:space="preserve"> </w:t>
      </w:r>
      <w:r>
        <w:rPr>
          <w:sz w:val="24"/>
          <w:szCs w:val="24"/>
          <w:lang w:val="en-GB"/>
        </w:rPr>
        <w:t>adjusted</w:t>
      </w:r>
      <w:proofErr w:type="gramEnd"/>
      <w:r>
        <w:rPr>
          <w:sz w:val="24"/>
          <w:szCs w:val="24"/>
          <w:lang w:val="en-GB"/>
        </w:rPr>
        <w:t xml:space="preserve"> on 8 November 2023. At €1,326.8m, Group revenue is at the upper end of the guidance of €1,300m. In the previous year, revenue amounted to €1,185.7m and EBIT to €22.0m. Consequently, revenue improved by 11.9% compared to the previous year, while EBIT increased by €7.9m, translating into an increase of 35.9%. The EBIT margin reached 2.3%, compared with 1.9% in the previous year. </w:t>
      </w:r>
    </w:p>
    <w:p w14:paraId="00BEFB84" w14:textId="77777777" w:rsidR="00792C30" w:rsidRPr="00EE0592" w:rsidRDefault="00AF31DA">
      <w:pPr>
        <w:jc w:val="both"/>
        <w:rPr>
          <w:sz w:val="24"/>
          <w:szCs w:val="24"/>
          <w:lang w:val="en-US"/>
        </w:rPr>
      </w:pPr>
      <w:bookmarkStart w:id="3" w:name="OLE_LINK1"/>
      <w:bookmarkStart w:id="4" w:name="OLE_LINK2"/>
      <w:r>
        <w:rPr>
          <w:sz w:val="24"/>
          <w:szCs w:val="24"/>
          <w:lang w:val="en-GB"/>
        </w:rPr>
        <w:t xml:space="preserve">The heightened profitability despite the start-up and trailing costs in the Digital &amp; Webfed segment is mainly due to the more efficient handling of inflation-induced </w:t>
      </w:r>
      <w:r>
        <w:rPr>
          <w:sz w:val="24"/>
          <w:szCs w:val="24"/>
          <w:lang w:val="en-GB"/>
        </w:rPr>
        <w:lastRenderedPageBreak/>
        <w:t xml:space="preserve">additional costs (material, energy and personnel) as well as improved cost management in the third quarter </w:t>
      </w:r>
      <w:proofErr w:type="gramStart"/>
      <w:r>
        <w:rPr>
          <w:sz w:val="24"/>
          <w:szCs w:val="24"/>
          <w:lang w:val="en-GB"/>
        </w:rPr>
        <w:t>as a result</w:t>
      </w:r>
      <w:proofErr w:type="gramEnd"/>
      <w:r>
        <w:rPr>
          <w:sz w:val="24"/>
          <w:szCs w:val="24"/>
          <w:lang w:val="en-GB"/>
        </w:rPr>
        <w:t xml:space="preserve"> of the absence of any recovery in demand. At the same time, it was possible </w:t>
      </w:r>
      <w:proofErr w:type="gramStart"/>
      <w:r>
        <w:rPr>
          <w:sz w:val="24"/>
          <w:szCs w:val="24"/>
          <w:lang w:val="en-GB"/>
        </w:rPr>
        <w:t>to largely pass</w:t>
      </w:r>
      <w:proofErr w:type="gramEnd"/>
      <w:r>
        <w:rPr>
          <w:sz w:val="24"/>
          <w:szCs w:val="24"/>
          <w:lang w:val="en-GB"/>
        </w:rPr>
        <w:t xml:space="preserve"> on the higher energy, material and personnel costs, while the temporary increase in the costs of materials subsided again.  </w:t>
      </w:r>
    </w:p>
    <w:bookmarkEnd w:id="3"/>
    <w:bookmarkEnd w:id="4"/>
    <w:p w14:paraId="39C3B991" w14:textId="77777777" w:rsidR="00792C30" w:rsidRPr="00EE0592" w:rsidRDefault="00AF31DA">
      <w:pPr>
        <w:jc w:val="both"/>
        <w:rPr>
          <w:sz w:val="24"/>
          <w:szCs w:val="24"/>
          <w:lang w:val="en-US"/>
        </w:rPr>
      </w:pPr>
      <w:r>
        <w:rPr>
          <w:sz w:val="24"/>
          <w:szCs w:val="24"/>
          <w:lang w:val="en-GB"/>
        </w:rPr>
        <w:t xml:space="preserve">In the fourth quarter, Koenig &amp; Bauer was able to remain on the growth trajectory that it had adopted in the first half of 2023, despite a weaker third quarter. In this regard, the final quarter showed its usual strength again, with revenues coming to €435.7m (previous year: €380.0m) and EBIT to €32.0m (previous year: €25.0m). This marked a significant improvement over the same period in the previous year. </w:t>
      </w:r>
    </w:p>
    <w:p w14:paraId="24B2B583" w14:textId="77777777" w:rsidR="00792C30" w:rsidRPr="00EE0592" w:rsidRDefault="00AF31DA">
      <w:pPr>
        <w:jc w:val="both"/>
        <w:rPr>
          <w:lang w:val="en-US"/>
        </w:rPr>
      </w:pPr>
      <w:r>
        <w:rPr>
          <w:sz w:val="24"/>
          <w:szCs w:val="24"/>
          <w:lang w:val="en-GB"/>
        </w:rPr>
        <w:t xml:space="preserve">Order intake amounted to €1,287.9m at the end of the year, thus falling slightly short of the previous year’s historically high figure of €1,329.3m, as expected. The book-to-bill ratio stood at 1.0 in the fourth quarter, up from the previous year’s figure of 0.8. As planned, the order backlog contracted from €950.4m to €911.5m at the end of the year </w:t>
      </w:r>
      <w:proofErr w:type="gramStart"/>
      <w:r>
        <w:rPr>
          <w:sz w:val="24"/>
          <w:szCs w:val="24"/>
          <w:lang w:val="en-GB"/>
        </w:rPr>
        <w:t>as a result</w:t>
      </w:r>
      <w:proofErr w:type="gramEnd"/>
      <w:r>
        <w:rPr>
          <w:sz w:val="24"/>
          <w:szCs w:val="24"/>
          <w:lang w:val="en-GB"/>
        </w:rPr>
        <w:t xml:space="preserve"> of the completed deliveries.</w:t>
      </w:r>
    </w:p>
    <w:p w14:paraId="76EA2C9E" w14:textId="77777777" w:rsidR="00792C30" w:rsidRPr="00EE0592" w:rsidRDefault="00AF31DA">
      <w:pPr>
        <w:pStyle w:val="berschrift3"/>
        <w:jc w:val="both"/>
        <w:rPr>
          <w:lang w:val="en-US"/>
        </w:rPr>
      </w:pPr>
      <w:r>
        <w:rPr>
          <w:bCs/>
          <w:sz w:val="24"/>
          <w:szCs w:val="24"/>
          <w:lang w:val="en-GB"/>
        </w:rPr>
        <w:t>Segments: strong order intake for Banknote Solutions in the Special segment</w:t>
      </w:r>
    </w:p>
    <w:p w14:paraId="10BE94EC" w14:textId="049F66B6" w:rsidR="00792C30" w:rsidRPr="00EE0592" w:rsidRDefault="00AF31DA">
      <w:pPr>
        <w:jc w:val="both"/>
        <w:rPr>
          <w:sz w:val="24"/>
          <w:szCs w:val="24"/>
          <w:lang w:val="en-US"/>
        </w:rPr>
      </w:pPr>
      <w:r>
        <w:rPr>
          <w:sz w:val="24"/>
          <w:szCs w:val="24"/>
          <w:lang w:val="en-GB"/>
        </w:rPr>
        <w:t xml:space="preserve">Order intake in the </w:t>
      </w:r>
      <w:r>
        <w:rPr>
          <w:b/>
          <w:bCs/>
          <w:sz w:val="24"/>
          <w:szCs w:val="24"/>
          <w:lang w:val="en-GB"/>
        </w:rPr>
        <w:t>Special segment</w:t>
      </w:r>
      <w:r>
        <w:rPr>
          <w:sz w:val="24"/>
          <w:szCs w:val="24"/>
          <w:lang w:val="en-GB"/>
        </w:rPr>
        <w:t xml:space="preserve"> increased by 37.1% to €538.8m as of the end of the year (previous year: €392.9m). In the fourth quarter alone, order intake amounted to €268.1m, underpinned by an order in the Banknote Solutions business unit received from the United States Bureau of Engraving and Printing in Washington, D.C. At €413.7m as of 31 December 2023, revenue was slightly down on the previous year’s figure of €417.1m. </w:t>
      </w:r>
      <w:r w:rsidR="00A85DB1">
        <w:rPr>
          <w:sz w:val="24"/>
          <w:szCs w:val="24"/>
          <w:lang w:val="en-GB"/>
        </w:rPr>
        <w:t xml:space="preserve"> </w:t>
      </w:r>
      <w:r w:rsidR="00894E1D">
        <w:rPr>
          <w:sz w:val="24"/>
          <w:szCs w:val="24"/>
          <w:lang w:val="en-GB"/>
        </w:rPr>
        <w:t>However, at €23.0m</w:t>
      </w:r>
      <w:r w:rsidR="00A85DB1" w:rsidRPr="00A85DB1">
        <w:rPr>
          <w:sz w:val="24"/>
          <w:szCs w:val="24"/>
          <w:lang w:val="en-GB"/>
        </w:rPr>
        <w:t>, EBIT almost reached</w:t>
      </w:r>
      <w:r w:rsidR="00894E1D">
        <w:rPr>
          <w:sz w:val="24"/>
          <w:szCs w:val="24"/>
          <w:lang w:val="en-GB"/>
        </w:rPr>
        <w:t xml:space="preserve"> the previous year's level of €23.2m</w:t>
      </w:r>
      <w:r w:rsidR="00A85DB1" w:rsidRPr="00A85DB1">
        <w:rPr>
          <w:sz w:val="24"/>
          <w:szCs w:val="24"/>
          <w:lang w:val="en-GB"/>
        </w:rPr>
        <w:t>.</w:t>
      </w:r>
    </w:p>
    <w:p w14:paraId="7A63EE62" w14:textId="77777777" w:rsidR="00792C30" w:rsidRPr="00EE0592" w:rsidRDefault="00AF31DA">
      <w:pPr>
        <w:jc w:val="both"/>
        <w:rPr>
          <w:sz w:val="24"/>
          <w:szCs w:val="24"/>
          <w:lang w:val="en-US"/>
        </w:rPr>
      </w:pPr>
      <w:r>
        <w:rPr>
          <w:sz w:val="24"/>
          <w:szCs w:val="24"/>
          <w:lang w:val="en-GB"/>
        </w:rPr>
        <w:t xml:space="preserve">At €606.2m, order intake in the </w:t>
      </w:r>
      <w:r>
        <w:rPr>
          <w:b/>
          <w:bCs/>
          <w:sz w:val="24"/>
          <w:szCs w:val="24"/>
          <w:lang w:val="en-GB"/>
        </w:rPr>
        <w:t>Sheetfed segment</w:t>
      </w:r>
      <w:r>
        <w:rPr>
          <w:sz w:val="24"/>
          <w:szCs w:val="24"/>
          <w:lang w:val="en-GB"/>
        </w:rPr>
        <w:t xml:space="preserve"> was below the extremely high figure of €813.5m recorded in the previous year following a sequential improvement in the fourth quarter. However, the previous year had been characterised by post-pandemic catch-up effects as well as greater stockpiling by customers and brand owners </w:t>
      </w:r>
      <w:proofErr w:type="gramStart"/>
      <w:r>
        <w:rPr>
          <w:sz w:val="24"/>
          <w:szCs w:val="24"/>
          <w:lang w:val="en-GB"/>
        </w:rPr>
        <w:t>as a result</w:t>
      </w:r>
      <w:proofErr w:type="gramEnd"/>
      <w:r>
        <w:rPr>
          <w:sz w:val="24"/>
          <w:szCs w:val="24"/>
          <w:lang w:val="en-GB"/>
        </w:rPr>
        <w:t xml:space="preserve"> of supply chain and material bottlenecks. After a strong final quarter, revenue increased by 16.0% to €779.8m (previous year: €672.2m). This performance is also reflected in EBIT, which climbed by 56.8% to €29.8m (previous year: €19.0m), thus further widening its positive contribution to earnings. </w:t>
      </w:r>
    </w:p>
    <w:p w14:paraId="66BD1ED5" w14:textId="24858B03" w:rsidR="00792C30" w:rsidRPr="00EE0592" w:rsidRDefault="00AF31DA">
      <w:pPr>
        <w:jc w:val="both"/>
        <w:rPr>
          <w:sz w:val="24"/>
          <w:szCs w:val="24"/>
          <w:lang w:val="en-US"/>
        </w:rPr>
      </w:pPr>
      <w:r>
        <w:rPr>
          <w:sz w:val="24"/>
          <w:szCs w:val="24"/>
          <w:lang w:val="en-GB"/>
        </w:rPr>
        <w:t xml:space="preserve">At €179.8m, the </w:t>
      </w:r>
      <w:r>
        <w:rPr>
          <w:b/>
          <w:bCs/>
          <w:sz w:val="24"/>
          <w:szCs w:val="24"/>
          <w:lang w:val="en-GB"/>
        </w:rPr>
        <w:t>Digital &amp; Webfed</w:t>
      </w:r>
      <w:r>
        <w:rPr>
          <w:sz w:val="24"/>
          <w:szCs w:val="24"/>
          <w:lang w:val="en-GB"/>
        </w:rPr>
        <w:t xml:space="preserve"> segment recorded a 9.9% increase in order intake (previous year: €163.6m). Revenue also climbed by 23.2% year-on-year to €172.3m (previous year: €139.8m), not least due to a successful final quarter. EBIT </w:t>
      </w:r>
      <w:r w:rsidR="00894E1D">
        <w:rPr>
          <w:sz w:val="24"/>
          <w:szCs w:val="24"/>
          <w:lang w:val="en-GB"/>
        </w:rPr>
        <w:t>was impacted by</w:t>
      </w:r>
      <w:r>
        <w:rPr>
          <w:sz w:val="24"/>
          <w:szCs w:val="24"/>
          <w:lang w:val="en-GB"/>
        </w:rPr>
        <w:t xml:space="preserve"> start-up and trailing costs in the second and third quarters in particular in connection with the introduction of the new </w:t>
      </w:r>
      <w:proofErr w:type="spellStart"/>
      <w:r>
        <w:rPr>
          <w:sz w:val="24"/>
          <w:szCs w:val="24"/>
          <w:lang w:val="en-GB"/>
        </w:rPr>
        <w:t>flexo</w:t>
      </w:r>
      <w:proofErr w:type="spellEnd"/>
      <w:r>
        <w:rPr>
          <w:sz w:val="24"/>
          <w:szCs w:val="24"/>
          <w:lang w:val="en-GB"/>
        </w:rPr>
        <w:t>, corrugated board and digital printing products,</w:t>
      </w:r>
      <w:r w:rsidR="00894E1D">
        <w:rPr>
          <w:sz w:val="24"/>
          <w:szCs w:val="24"/>
          <w:lang w:val="en-GB"/>
        </w:rPr>
        <w:t xml:space="preserve"> particularly in the second and third quarters,</w:t>
      </w:r>
      <w:r w:rsidR="00315876">
        <w:rPr>
          <w:sz w:val="24"/>
          <w:szCs w:val="24"/>
          <w:lang w:val="en-GB"/>
        </w:rPr>
        <w:t xml:space="preserve"> </w:t>
      </w:r>
      <w:r w:rsidR="00894E1D">
        <w:rPr>
          <w:sz w:val="24"/>
          <w:szCs w:val="24"/>
          <w:lang w:val="en-GB"/>
        </w:rPr>
        <w:t>and amounted to</w:t>
      </w:r>
      <w:r>
        <w:rPr>
          <w:sz w:val="24"/>
          <w:szCs w:val="24"/>
          <w:lang w:val="en-GB"/>
        </w:rPr>
        <w:t xml:space="preserve">  €-23.9m after twelve months (previous year: €-19.3m).  </w:t>
      </w:r>
    </w:p>
    <w:p w14:paraId="0054CDB0" w14:textId="14A57731" w:rsidR="00792C30" w:rsidRPr="00EE0592" w:rsidRDefault="00AF31DA">
      <w:pPr>
        <w:jc w:val="both"/>
        <w:rPr>
          <w:color w:val="FF0000"/>
          <w:sz w:val="24"/>
          <w:szCs w:val="24"/>
          <w:lang w:val="en-US"/>
        </w:rPr>
      </w:pPr>
      <w:r>
        <w:rPr>
          <w:sz w:val="24"/>
          <w:szCs w:val="24"/>
          <w:lang w:val="en-GB"/>
        </w:rPr>
        <w:lastRenderedPageBreak/>
        <w:t xml:space="preserve">Dr Stephen </w:t>
      </w:r>
      <w:proofErr w:type="spellStart"/>
      <w:r>
        <w:rPr>
          <w:sz w:val="24"/>
          <w:szCs w:val="24"/>
          <w:lang w:val="en-GB"/>
        </w:rPr>
        <w:t>Kimmich</w:t>
      </w:r>
      <w:proofErr w:type="spellEnd"/>
      <w:r>
        <w:rPr>
          <w:sz w:val="24"/>
          <w:szCs w:val="24"/>
          <w:lang w:val="en-GB"/>
        </w:rPr>
        <w:t>, CFO</w:t>
      </w:r>
      <w:r w:rsidR="00894E1D">
        <w:rPr>
          <w:sz w:val="24"/>
          <w:szCs w:val="24"/>
          <w:lang w:val="en-GB"/>
        </w:rPr>
        <w:t>, comments</w:t>
      </w:r>
      <w:r>
        <w:rPr>
          <w:sz w:val="24"/>
          <w:szCs w:val="24"/>
          <w:lang w:val="en-GB"/>
        </w:rPr>
        <w:t xml:space="preserve">: “As we are still operating in an extremely challenging market environment, we have continued on our path aimed at improving operating profit. Nevertheless, we are aware that Koenig &amp; Bauer needs to be more profitable looking forward. Just like our successful customers, we must focus on the value drivers that are spurring our transformation from a printing press manufacturer into a technology company. In addition, we have to address the challenges of a world characterised by rapid and unpredictable change.” </w:t>
      </w:r>
    </w:p>
    <w:p w14:paraId="2510DA5A" w14:textId="77777777" w:rsidR="007D22EA" w:rsidRDefault="00AF31DA" w:rsidP="007D22EA">
      <w:pPr>
        <w:spacing w:after="0"/>
        <w:jc w:val="both"/>
        <w:rPr>
          <w:b/>
          <w:bCs/>
          <w:color w:val="002355"/>
          <w:sz w:val="24"/>
          <w:szCs w:val="24"/>
          <w:lang w:val="en-GB"/>
        </w:rPr>
      </w:pPr>
      <w:r>
        <w:rPr>
          <w:b/>
          <w:bCs/>
          <w:color w:val="002355"/>
          <w:sz w:val="24"/>
          <w:szCs w:val="24"/>
          <w:lang w:val="en-GB"/>
        </w:rPr>
        <w:t>“Spotlight” on growth drivers and innovations</w:t>
      </w:r>
    </w:p>
    <w:p w14:paraId="50639986" w14:textId="3721C1B4" w:rsidR="00792C30" w:rsidRPr="00EE0592" w:rsidRDefault="00AF31DA">
      <w:pPr>
        <w:jc w:val="both"/>
        <w:rPr>
          <w:sz w:val="24"/>
          <w:szCs w:val="24"/>
          <w:lang w:val="en-US"/>
        </w:rPr>
      </w:pPr>
      <w:proofErr w:type="gramStart"/>
      <w:r>
        <w:rPr>
          <w:sz w:val="24"/>
          <w:szCs w:val="24"/>
          <w:lang w:val="en-GB"/>
        </w:rPr>
        <w:t xml:space="preserve">With the “2023 Growth Offensive” adopted in 2018, which aimed to proactively exploit the market opportunities arising in digital printing, corrugated board, cardboard packaging and flexible packaging printing in particular, as well as in the </w:t>
      </w:r>
      <w:proofErr w:type="spellStart"/>
      <w:r>
        <w:rPr>
          <w:sz w:val="24"/>
          <w:szCs w:val="24"/>
          <w:lang w:val="en-GB"/>
        </w:rPr>
        <w:t>postpress</w:t>
      </w:r>
      <w:proofErr w:type="spellEnd"/>
      <w:r>
        <w:rPr>
          <w:sz w:val="24"/>
          <w:szCs w:val="24"/>
          <w:lang w:val="en-GB"/>
        </w:rPr>
        <w:t xml:space="preserve"> sector in the interests of sustainable profitable growth, Koenig &amp; Bauer has significantly driven forward its transformation from a printing press manufacturer to a technology company.</w:t>
      </w:r>
      <w:proofErr w:type="gramEnd"/>
      <w:r>
        <w:rPr>
          <w:sz w:val="24"/>
          <w:szCs w:val="24"/>
          <w:lang w:val="en-GB"/>
        </w:rPr>
        <w:t xml:space="preserve"> The company </w:t>
      </w:r>
      <w:proofErr w:type="gramStart"/>
      <w:r>
        <w:rPr>
          <w:sz w:val="24"/>
          <w:szCs w:val="24"/>
          <w:lang w:val="en-GB"/>
        </w:rPr>
        <w:t>is thus headed</w:t>
      </w:r>
      <w:proofErr w:type="gramEnd"/>
      <w:r>
        <w:rPr>
          <w:sz w:val="24"/>
          <w:szCs w:val="24"/>
          <w:lang w:val="en-GB"/>
        </w:rPr>
        <w:t xml:space="preserve"> in the right direction, although external and internal factors are resulting in heightened complexity and rising costs.</w:t>
      </w:r>
      <w:r>
        <w:rPr>
          <w:lang w:val="en-GB"/>
        </w:rPr>
        <w:t xml:space="preserve"> </w:t>
      </w:r>
      <w:r>
        <w:rPr>
          <w:sz w:val="24"/>
          <w:szCs w:val="24"/>
          <w:lang w:val="en-GB"/>
        </w:rPr>
        <w:t xml:space="preserve">For this reason, the Management Board initiated the “Spotlight” focus programme at the end of 2023. </w:t>
      </w:r>
    </w:p>
    <w:p w14:paraId="1805998D" w14:textId="77777777" w:rsidR="00792C30" w:rsidRPr="00EE0592" w:rsidRDefault="00AF31DA">
      <w:pPr>
        <w:jc w:val="both"/>
        <w:rPr>
          <w:sz w:val="24"/>
          <w:szCs w:val="24"/>
          <w:lang w:val="en-US"/>
        </w:rPr>
      </w:pPr>
      <w:r>
        <w:rPr>
          <w:sz w:val="24"/>
          <w:szCs w:val="24"/>
          <w:lang w:val="en-GB"/>
        </w:rPr>
        <w:t>As CEO Dr Andreas Pleßke, explains, “</w:t>
      </w:r>
      <w:proofErr w:type="gramStart"/>
      <w:r>
        <w:rPr>
          <w:sz w:val="24"/>
          <w:szCs w:val="24"/>
          <w:lang w:val="en-GB"/>
        </w:rPr>
        <w:t>the</w:t>
      </w:r>
      <w:proofErr w:type="gramEnd"/>
      <w:r>
        <w:rPr>
          <w:sz w:val="24"/>
          <w:szCs w:val="24"/>
          <w:lang w:val="en-GB"/>
        </w:rPr>
        <w:t xml:space="preserve"> old adage that you reap what you sow still applies. We launched the growth initiatives in 2018 with foresight. With this </w:t>
      </w:r>
      <w:proofErr w:type="spellStart"/>
      <w:r>
        <w:rPr>
          <w:sz w:val="24"/>
          <w:szCs w:val="24"/>
          <w:lang w:val="en-GB"/>
        </w:rPr>
        <w:t>mindset</w:t>
      </w:r>
      <w:proofErr w:type="spellEnd"/>
      <w:r>
        <w:rPr>
          <w:sz w:val="24"/>
          <w:szCs w:val="24"/>
          <w:lang w:val="en-GB"/>
        </w:rPr>
        <w:t xml:space="preserve">, we have been the market and technology leader in many areas for more than 200 years. </w:t>
      </w:r>
      <w:proofErr w:type="gramStart"/>
      <w:r>
        <w:rPr>
          <w:sz w:val="24"/>
          <w:szCs w:val="24"/>
          <w:lang w:val="en-GB"/>
        </w:rPr>
        <w:t>And</w:t>
      </w:r>
      <w:proofErr w:type="gramEnd"/>
      <w:r>
        <w:rPr>
          <w:sz w:val="24"/>
          <w:szCs w:val="24"/>
          <w:lang w:val="en-GB"/>
        </w:rPr>
        <w:t xml:space="preserve"> that’s how we want things to stay. We have now almost completed the sowing phase and want to reap the harvest. This will also be aided by the “Spotlight” programme, in which we are prioritising initiatives and business models that boost earnings and financial strength, deprioritising initiatives that do not directly impact earnings and optimising the Group and segment organisation as well as the indirect cost structure to make processes even leaner and more customer-friendly.” Under </w:t>
      </w:r>
      <w:proofErr w:type="spellStart"/>
      <w:r>
        <w:rPr>
          <w:sz w:val="24"/>
          <w:szCs w:val="24"/>
          <w:lang w:val="en-GB"/>
        </w:rPr>
        <w:t>Pleßke's</w:t>
      </w:r>
      <w:proofErr w:type="spellEnd"/>
      <w:r>
        <w:rPr>
          <w:sz w:val="24"/>
          <w:szCs w:val="24"/>
          <w:lang w:val="en-GB"/>
        </w:rPr>
        <w:t xml:space="preserve"> leadership, the measures will for the most part be identified, implemented and finalised in 2024, although the full-year effect </w:t>
      </w:r>
      <w:proofErr w:type="gramStart"/>
      <w:r>
        <w:rPr>
          <w:sz w:val="24"/>
          <w:szCs w:val="24"/>
          <w:lang w:val="en-GB"/>
        </w:rPr>
        <w:t>will not be felt</w:t>
      </w:r>
      <w:proofErr w:type="gramEnd"/>
      <w:r>
        <w:rPr>
          <w:sz w:val="24"/>
          <w:szCs w:val="24"/>
          <w:lang w:val="en-GB"/>
        </w:rPr>
        <w:t xml:space="preserve"> until 2025.</w:t>
      </w:r>
    </w:p>
    <w:p w14:paraId="3E1B3BD2" w14:textId="7C0B0EFA" w:rsidR="00792C30" w:rsidRPr="00EE0592" w:rsidRDefault="00AF31DA">
      <w:pPr>
        <w:pStyle w:val="berschrift3"/>
        <w:jc w:val="both"/>
        <w:rPr>
          <w:sz w:val="24"/>
          <w:szCs w:val="24"/>
          <w:lang w:val="en-US"/>
        </w:rPr>
      </w:pPr>
      <w:r>
        <w:rPr>
          <w:bCs/>
          <w:sz w:val="24"/>
          <w:szCs w:val="24"/>
          <w:lang w:val="en-GB"/>
        </w:rPr>
        <w:t xml:space="preserve">Dr Stephen </w:t>
      </w:r>
      <w:proofErr w:type="spellStart"/>
      <w:r>
        <w:rPr>
          <w:bCs/>
          <w:sz w:val="24"/>
          <w:szCs w:val="24"/>
          <w:lang w:val="en-GB"/>
        </w:rPr>
        <w:t>Kimmich</w:t>
      </w:r>
      <w:proofErr w:type="spellEnd"/>
      <w:r>
        <w:rPr>
          <w:bCs/>
          <w:sz w:val="24"/>
          <w:szCs w:val="24"/>
          <w:lang w:val="en-GB"/>
        </w:rPr>
        <w:t xml:space="preserve"> </w:t>
      </w:r>
      <w:r w:rsidR="00C92D03">
        <w:rPr>
          <w:bCs/>
          <w:sz w:val="24"/>
          <w:szCs w:val="24"/>
          <w:lang w:val="en-GB"/>
        </w:rPr>
        <w:t xml:space="preserve">will </w:t>
      </w:r>
      <w:r>
        <w:rPr>
          <w:bCs/>
          <w:sz w:val="24"/>
          <w:szCs w:val="24"/>
          <w:lang w:val="en-GB"/>
        </w:rPr>
        <w:t>additionally assu</w:t>
      </w:r>
      <w:r w:rsidR="00C92D03">
        <w:rPr>
          <w:bCs/>
          <w:sz w:val="24"/>
          <w:szCs w:val="24"/>
          <w:lang w:val="en-GB"/>
        </w:rPr>
        <w:t>me</w:t>
      </w:r>
      <w:r>
        <w:rPr>
          <w:bCs/>
          <w:sz w:val="24"/>
          <w:szCs w:val="24"/>
          <w:lang w:val="en-GB"/>
        </w:rPr>
        <w:t xml:space="preserve"> responsibility for the Special segment</w:t>
      </w:r>
    </w:p>
    <w:p w14:paraId="35D2AEB2" w14:textId="3471F82D" w:rsidR="00792C30" w:rsidRPr="00EE0592" w:rsidRDefault="00AF31DA">
      <w:pPr>
        <w:jc w:val="both"/>
        <w:rPr>
          <w:color w:val="000000"/>
          <w:sz w:val="24"/>
          <w:szCs w:val="24"/>
          <w:lang w:val="en-US"/>
        </w:rPr>
      </w:pPr>
      <w:r>
        <w:rPr>
          <w:sz w:val="24"/>
          <w:szCs w:val="24"/>
          <w:lang w:val="en-GB"/>
        </w:rPr>
        <w:t xml:space="preserve">In December 2023, CFO Dr Stephen </w:t>
      </w:r>
      <w:proofErr w:type="spellStart"/>
      <w:r>
        <w:rPr>
          <w:sz w:val="24"/>
          <w:szCs w:val="24"/>
          <w:lang w:val="en-GB"/>
        </w:rPr>
        <w:t>Kimmich</w:t>
      </w:r>
      <w:proofErr w:type="spellEnd"/>
      <w:r>
        <w:rPr>
          <w:sz w:val="24"/>
          <w:szCs w:val="24"/>
          <w:lang w:val="en-GB"/>
        </w:rPr>
        <w:t xml:space="preserve">, was appointed Deputy Chief Executive Officer in order to additionally contribute to the company’s operating business beyond his role as Chief Financial Officer. As of 1 April 2024, he will assume responsibility on the Management Board for the Special segment, which </w:t>
      </w:r>
      <w:proofErr w:type="gramStart"/>
      <w:r>
        <w:rPr>
          <w:sz w:val="24"/>
          <w:szCs w:val="24"/>
          <w:lang w:val="en-GB"/>
        </w:rPr>
        <w:t>was previously held</w:t>
      </w:r>
      <w:proofErr w:type="gramEnd"/>
      <w:r>
        <w:rPr>
          <w:sz w:val="24"/>
          <w:szCs w:val="24"/>
          <w:lang w:val="en-GB"/>
        </w:rPr>
        <w:t xml:space="preserve"> by the Chief Executive Officer, Dr Andreas Pleßke. </w:t>
      </w:r>
      <w:proofErr w:type="spellStart"/>
      <w:r w:rsidR="00C92D03" w:rsidRPr="00C92D03">
        <w:rPr>
          <w:sz w:val="24"/>
          <w:szCs w:val="24"/>
          <w:lang w:val="en-GB"/>
        </w:rPr>
        <w:t>Prof.</w:t>
      </w:r>
      <w:proofErr w:type="spellEnd"/>
      <w:r w:rsidR="00C92D03" w:rsidRPr="00C92D03">
        <w:rPr>
          <w:sz w:val="24"/>
          <w:szCs w:val="24"/>
          <w:lang w:val="en-GB"/>
        </w:rPr>
        <w:t xml:space="preserve"> Dr.-</w:t>
      </w:r>
      <w:proofErr w:type="spellStart"/>
      <w:r w:rsidR="00C92D03" w:rsidRPr="00C92D03">
        <w:rPr>
          <w:sz w:val="24"/>
          <w:szCs w:val="24"/>
          <w:lang w:val="en-GB"/>
        </w:rPr>
        <w:t>Ing</w:t>
      </w:r>
      <w:proofErr w:type="spellEnd"/>
      <w:r w:rsidR="00C92D03" w:rsidRPr="00C92D03">
        <w:rPr>
          <w:sz w:val="24"/>
          <w:szCs w:val="24"/>
          <w:lang w:val="en-GB"/>
        </w:rPr>
        <w:t xml:space="preserve">. </w:t>
      </w:r>
      <w:proofErr w:type="spellStart"/>
      <w:r w:rsidR="00C92D03" w:rsidRPr="00C92D03">
        <w:rPr>
          <w:sz w:val="24"/>
          <w:szCs w:val="24"/>
          <w:lang w:val="en-GB"/>
        </w:rPr>
        <w:t>Raimund</w:t>
      </w:r>
      <w:proofErr w:type="spellEnd"/>
      <w:r w:rsidR="00C92D03" w:rsidRPr="00C92D03">
        <w:rPr>
          <w:sz w:val="24"/>
          <w:szCs w:val="24"/>
          <w:lang w:val="en-GB"/>
        </w:rPr>
        <w:t xml:space="preserve"> </w:t>
      </w:r>
      <w:proofErr w:type="spellStart"/>
      <w:r w:rsidR="00C92D03" w:rsidRPr="00C92D03">
        <w:rPr>
          <w:sz w:val="24"/>
          <w:szCs w:val="24"/>
          <w:lang w:val="en-GB"/>
        </w:rPr>
        <w:t>Klinkner</w:t>
      </w:r>
      <w:proofErr w:type="spellEnd"/>
      <w:r w:rsidR="00C92D03" w:rsidRPr="00C92D03">
        <w:rPr>
          <w:sz w:val="24"/>
          <w:szCs w:val="24"/>
          <w:lang w:val="en-GB"/>
        </w:rPr>
        <w:t>, Chairman of the Supervisory Board, comments:</w:t>
      </w:r>
      <w:r>
        <w:rPr>
          <w:sz w:val="24"/>
          <w:szCs w:val="24"/>
          <w:lang w:val="en-GB"/>
        </w:rPr>
        <w:t xml:space="preserve"> “In recent years, Dr </w:t>
      </w:r>
      <w:proofErr w:type="spellStart"/>
      <w:r>
        <w:rPr>
          <w:sz w:val="24"/>
          <w:szCs w:val="24"/>
          <w:lang w:val="en-GB"/>
        </w:rPr>
        <w:t>Kimmich</w:t>
      </w:r>
      <w:proofErr w:type="spellEnd"/>
      <w:r>
        <w:rPr>
          <w:sz w:val="24"/>
          <w:szCs w:val="24"/>
          <w:lang w:val="en-GB"/>
        </w:rPr>
        <w:t xml:space="preserve"> has gained an extremely good reputation both on the capital market and elsewhere. He has already laid important operational foundations for the future by taking responsibility for our M&amp;A strategy. We are convinced that he will now also be able to put his far-sighted operational skills to good use in the Special segment.” </w:t>
      </w:r>
    </w:p>
    <w:p w14:paraId="6E84C079" w14:textId="68EC95FB" w:rsidR="00792C30" w:rsidRPr="00EE0592" w:rsidRDefault="00AF31DA">
      <w:pPr>
        <w:pStyle w:val="berschrift3"/>
        <w:jc w:val="both"/>
        <w:rPr>
          <w:sz w:val="24"/>
          <w:szCs w:val="24"/>
          <w:lang w:val="en-US"/>
        </w:rPr>
      </w:pPr>
      <w:r>
        <w:rPr>
          <w:bCs/>
          <w:sz w:val="24"/>
          <w:szCs w:val="24"/>
          <w:lang w:val="en-GB"/>
        </w:rPr>
        <w:lastRenderedPageBreak/>
        <w:t xml:space="preserve">Outlook for 2024: </w:t>
      </w:r>
      <w:r w:rsidR="00267777">
        <w:rPr>
          <w:bCs/>
          <w:sz w:val="24"/>
          <w:szCs w:val="24"/>
          <w:lang w:val="en-GB"/>
        </w:rPr>
        <w:t xml:space="preserve">Operative </w:t>
      </w:r>
      <w:bookmarkStart w:id="5" w:name="_GoBack"/>
      <w:bookmarkEnd w:id="5"/>
      <w:r>
        <w:rPr>
          <w:bCs/>
          <w:sz w:val="24"/>
          <w:szCs w:val="24"/>
          <w:lang w:val="en-GB"/>
        </w:rPr>
        <w:t>EBIT margin and revenue stable at the previous year’s level</w:t>
      </w:r>
    </w:p>
    <w:p w14:paraId="63586D23" w14:textId="77777777" w:rsidR="006A56F0" w:rsidRDefault="00AF31DA">
      <w:pPr>
        <w:jc w:val="both"/>
        <w:rPr>
          <w:sz w:val="24"/>
          <w:szCs w:val="24"/>
          <w:lang w:val="en-GB"/>
        </w:rPr>
      </w:pPr>
      <w:r>
        <w:rPr>
          <w:sz w:val="24"/>
          <w:szCs w:val="24"/>
          <w:lang w:val="en-GB"/>
        </w:rPr>
        <w:t xml:space="preserve">Koenig &amp; Bauer continues to face a challenging macroeconomic environment in 2024. Even so, the Management Board expects the EBIT margin and revenue to remain stable at the previous year’s level in 2024. Accordingly, it projects operating earnings of </w:t>
      </w:r>
      <w:r w:rsidRPr="00315876">
        <w:rPr>
          <w:sz w:val="24"/>
          <w:szCs w:val="24"/>
          <w:lang w:val="en-GB"/>
        </w:rPr>
        <w:t xml:space="preserve">between </w:t>
      </w:r>
      <w:r w:rsidRPr="001E4BEC">
        <w:rPr>
          <w:bCs/>
          <w:sz w:val="24"/>
          <w:szCs w:val="24"/>
          <w:lang w:val="en-GB"/>
        </w:rPr>
        <w:t>€</w:t>
      </w:r>
      <w:r w:rsidR="00364D08" w:rsidRPr="001E4BEC">
        <w:rPr>
          <w:bCs/>
          <w:sz w:val="24"/>
          <w:szCs w:val="24"/>
          <w:lang w:val="en-GB"/>
        </w:rPr>
        <w:t>25</w:t>
      </w:r>
      <w:r w:rsidRPr="001E4BEC">
        <w:rPr>
          <w:bCs/>
          <w:sz w:val="24"/>
          <w:szCs w:val="24"/>
          <w:lang w:val="en-GB"/>
        </w:rPr>
        <w:t>m and €40m</w:t>
      </w:r>
      <w:r w:rsidRPr="00315876">
        <w:rPr>
          <w:sz w:val="24"/>
          <w:szCs w:val="24"/>
          <w:lang w:val="en-GB"/>
        </w:rPr>
        <w:t xml:space="preserve"> and revenue of </w:t>
      </w:r>
      <w:r w:rsidRPr="001E4BEC">
        <w:rPr>
          <w:bCs/>
          <w:sz w:val="24"/>
          <w:szCs w:val="24"/>
          <w:lang w:val="en-GB"/>
        </w:rPr>
        <w:t>around €1.3bn</w:t>
      </w:r>
      <w:r w:rsidRPr="00315876">
        <w:rPr>
          <w:sz w:val="24"/>
          <w:szCs w:val="24"/>
          <w:lang w:val="en-GB"/>
        </w:rPr>
        <w:t xml:space="preserve">. </w:t>
      </w:r>
      <w:r>
        <w:rPr>
          <w:sz w:val="24"/>
          <w:szCs w:val="24"/>
          <w:lang w:val="en-GB"/>
        </w:rPr>
        <w:t xml:space="preserve">However, Group EBIT for 2024 will be burdened by up to €10m as a result of spending on </w:t>
      </w:r>
      <w:proofErr w:type="spellStart"/>
      <w:r>
        <w:rPr>
          <w:sz w:val="24"/>
          <w:szCs w:val="24"/>
          <w:lang w:val="en-GB"/>
        </w:rPr>
        <w:t>drupa</w:t>
      </w:r>
      <w:proofErr w:type="spellEnd"/>
      <w:r>
        <w:rPr>
          <w:sz w:val="24"/>
          <w:szCs w:val="24"/>
          <w:lang w:val="en-GB"/>
        </w:rPr>
        <w:t>, the world’s largest trade fair for the printing and graphics industry, which will be taking place in Düsseldorf from the end of May until the beginning of June</w:t>
      </w:r>
      <w:r w:rsidR="006A56F0">
        <w:rPr>
          <w:sz w:val="24"/>
          <w:szCs w:val="24"/>
          <w:lang w:val="en-GB"/>
        </w:rPr>
        <w:t>,</w:t>
      </w:r>
      <w:r w:rsidR="006A56F0" w:rsidRPr="006A56F0">
        <w:rPr>
          <w:lang w:val="en-US"/>
        </w:rPr>
        <w:t xml:space="preserve"> </w:t>
      </w:r>
      <w:r w:rsidR="006A56F0" w:rsidRPr="006A56F0">
        <w:rPr>
          <w:sz w:val="24"/>
          <w:szCs w:val="24"/>
          <w:lang w:val="en-GB"/>
        </w:rPr>
        <w:t>result</w:t>
      </w:r>
      <w:r w:rsidR="006A56F0">
        <w:rPr>
          <w:sz w:val="24"/>
          <w:szCs w:val="24"/>
          <w:lang w:val="en-GB"/>
        </w:rPr>
        <w:t>ing in Group EBIT of between €15</w:t>
      </w:r>
      <w:r w:rsidR="006A56F0" w:rsidRPr="006A56F0">
        <w:rPr>
          <w:sz w:val="24"/>
          <w:szCs w:val="24"/>
          <w:lang w:val="en-GB"/>
        </w:rPr>
        <w:t>m and €30m after this one-off effect.</w:t>
      </w:r>
      <w:r w:rsidR="006A56F0">
        <w:rPr>
          <w:sz w:val="24"/>
          <w:szCs w:val="24"/>
          <w:lang w:val="en-GB"/>
        </w:rPr>
        <w:t xml:space="preserve"> </w:t>
      </w:r>
    </w:p>
    <w:p w14:paraId="190AB771" w14:textId="5AF9654E" w:rsidR="00792C30" w:rsidRPr="00EE0592" w:rsidRDefault="00AF31DA">
      <w:pPr>
        <w:jc w:val="both"/>
        <w:rPr>
          <w:sz w:val="24"/>
          <w:szCs w:val="24"/>
          <w:lang w:val="en-US"/>
        </w:rPr>
      </w:pPr>
      <w:r>
        <w:rPr>
          <w:sz w:val="24"/>
          <w:szCs w:val="24"/>
          <w:lang w:val="en-GB"/>
        </w:rPr>
        <w:t xml:space="preserve">The Special and Digital &amp; Webfed segments should make a disproportionately large contribution to both EBIT and revenue. By contrast, the Sheetfed segment </w:t>
      </w:r>
      <w:proofErr w:type="gramStart"/>
      <w:r>
        <w:rPr>
          <w:sz w:val="24"/>
          <w:szCs w:val="24"/>
          <w:lang w:val="en-GB"/>
        </w:rPr>
        <w:t>is expected</w:t>
      </w:r>
      <w:proofErr w:type="gramEnd"/>
      <w:r>
        <w:rPr>
          <w:sz w:val="24"/>
          <w:szCs w:val="24"/>
          <w:lang w:val="en-GB"/>
        </w:rPr>
        <w:t xml:space="preserve"> to account for a disproportionately small proportion of earnings and revenue in the first half of 2024. </w:t>
      </w:r>
      <w:r w:rsidR="006A56F0">
        <w:rPr>
          <w:sz w:val="24"/>
          <w:szCs w:val="24"/>
          <w:lang w:val="en-GB"/>
        </w:rPr>
        <w:t>In the S</w:t>
      </w:r>
      <w:r w:rsidR="006A56F0" w:rsidRPr="006A56F0">
        <w:rPr>
          <w:sz w:val="24"/>
          <w:szCs w:val="24"/>
          <w:lang w:val="en-GB"/>
        </w:rPr>
        <w:t xml:space="preserve">heetfed sector in particular, a wait-and-see attitude </w:t>
      </w:r>
      <w:r w:rsidR="006A56F0">
        <w:rPr>
          <w:sz w:val="24"/>
          <w:szCs w:val="24"/>
          <w:lang w:val="en-GB"/>
        </w:rPr>
        <w:t xml:space="preserve">ahead of the </w:t>
      </w:r>
      <w:r w:rsidR="006A56F0" w:rsidRPr="006A56F0">
        <w:rPr>
          <w:sz w:val="24"/>
          <w:szCs w:val="24"/>
          <w:lang w:val="en-GB"/>
        </w:rPr>
        <w:t xml:space="preserve">industry's leading trade fair </w:t>
      </w:r>
      <w:proofErr w:type="spellStart"/>
      <w:r w:rsidR="006A56F0">
        <w:rPr>
          <w:sz w:val="24"/>
          <w:szCs w:val="24"/>
          <w:lang w:val="en-GB"/>
        </w:rPr>
        <w:t>drupa</w:t>
      </w:r>
      <w:proofErr w:type="spellEnd"/>
      <w:r w:rsidR="006A56F0">
        <w:rPr>
          <w:sz w:val="24"/>
          <w:szCs w:val="24"/>
          <w:lang w:val="en-GB"/>
        </w:rPr>
        <w:t xml:space="preserve"> could lead to a </w:t>
      </w:r>
      <w:r w:rsidR="00CF5167">
        <w:rPr>
          <w:sz w:val="24"/>
          <w:szCs w:val="24"/>
          <w:lang w:val="en-GB"/>
        </w:rPr>
        <w:t>purchasing restraint</w:t>
      </w:r>
      <w:r w:rsidR="006A56F0" w:rsidRPr="006A56F0">
        <w:rPr>
          <w:sz w:val="24"/>
          <w:szCs w:val="24"/>
          <w:lang w:val="en-GB"/>
        </w:rPr>
        <w:t>.</w:t>
      </w:r>
    </w:p>
    <w:p w14:paraId="4B2C2CD0" w14:textId="77777777" w:rsidR="00792C30" w:rsidRPr="00EE0592" w:rsidRDefault="00AF31DA">
      <w:pPr>
        <w:jc w:val="both"/>
        <w:rPr>
          <w:sz w:val="24"/>
          <w:szCs w:val="24"/>
          <w:lang w:val="en-US"/>
        </w:rPr>
      </w:pPr>
      <w:r>
        <w:rPr>
          <w:sz w:val="24"/>
          <w:szCs w:val="24"/>
          <w:lang w:val="en-GB"/>
        </w:rPr>
        <w:t>Given the persistently muted economic situation, the company projects an EBIT margin of 6 - 7% in 2026 at the latest, accompanied by Group revenue of €1.5bn. In the medium term, it is looking for revenue of around €1.8bn and an EBIT margin of 8 - 9%.</w:t>
      </w:r>
    </w:p>
    <w:p w14:paraId="7A6C8A7F" w14:textId="77777777" w:rsidR="002D5E8B" w:rsidRDefault="00AF31DA" w:rsidP="007D22EA">
      <w:pPr>
        <w:spacing w:after="0"/>
        <w:jc w:val="both"/>
        <w:rPr>
          <w:b/>
          <w:bCs/>
          <w:color w:val="002355"/>
          <w:sz w:val="24"/>
          <w:szCs w:val="24"/>
          <w:lang w:val="en-GB"/>
        </w:rPr>
      </w:pPr>
      <w:r>
        <w:rPr>
          <w:b/>
          <w:bCs/>
          <w:color w:val="002355"/>
          <w:sz w:val="24"/>
          <w:szCs w:val="24"/>
          <w:lang w:val="en-GB"/>
        </w:rPr>
        <w:t xml:space="preserve">Future dividend policy adopted with a </w:t>
      </w:r>
      <w:proofErr w:type="spellStart"/>
      <w:r>
        <w:rPr>
          <w:b/>
          <w:bCs/>
          <w:color w:val="002355"/>
          <w:sz w:val="24"/>
          <w:szCs w:val="24"/>
          <w:lang w:val="en-GB"/>
        </w:rPr>
        <w:t>payout</w:t>
      </w:r>
      <w:proofErr w:type="spellEnd"/>
      <w:r>
        <w:rPr>
          <w:b/>
          <w:bCs/>
          <w:color w:val="002355"/>
          <w:sz w:val="24"/>
          <w:szCs w:val="24"/>
          <w:lang w:val="en-GB"/>
        </w:rPr>
        <w:t xml:space="preserve"> ratio of 15-35%</w:t>
      </w:r>
    </w:p>
    <w:p w14:paraId="595883D8" w14:textId="77777777" w:rsidR="009F1B34" w:rsidRDefault="00AF31DA">
      <w:pPr>
        <w:jc w:val="both"/>
        <w:rPr>
          <w:sz w:val="24"/>
          <w:szCs w:val="24"/>
          <w:lang w:val="en-GB"/>
        </w:rPr>
      </w:pPr>
      <w:r>
        <w:rPr>
          <w:sz w:val="24"/>
          <w:szCs w:val="24"/>
          <w:lang w:val="en-GB"/>
        </w:rPr>
        <w:t xml:space="preserve">In view of the earnings performance in 2023 and the persistently challenging global economic market environment, the Management Board and the Supervisory Board will be proposing at the annual general meeting that the net profit generated by the holding company Koenig &amp; Bauer AG </w:t>
      </w:r>
      <w:proofErr w:type="gramStart"/>
      <w:r>
        <w:rPr>
          <w:sz w:val="24"/>
          <w:szCs w:val="24"/>
          <w:lang w:val="en-GB"/>
        </w:rPr>
        <w:t>be retained</w:t>
      </w:r>
      <w:proofErr w:type="gramEnd"/>
      <w:r>
        <w:rPr>
          <w:sz w:val="24"/>
          <w:szCs w:val="24"/>
          <w:lang w:val="en-GB"/>
        </w:rPr>
        <w:t xml:space="preserve"> and that a dividend be omitted for the 2023 financial year. </w:t>
      </w:r>
      <w:r w:rsidR="009F1B34" w:rsidRPr="009F1B34">
        <w:rPr>
          <w:sz w:val="24"/>
          <w:szCs w:val="24"/>
          <w:lang w:val="en-GB"/>
        </w:rPr>
        <w:t>However, as Koenig &amp; Bauer attaches great importance to ensuring an appropriate participation of its shareholders in the company’s success, a future dividend policy has been adopted which, subject to profitable business performance during the year, aims to distribute a dividend of 15 - 35% of consolidated earnings, with a minimum dividend of €0.30 per share.</w:t>
      </w:r>
    </w:p>
    <w:p w14:paraId="7819C890" w14:textId="71656174" w:rsidR="00792C30" w:rsidRDefault="00AF31DA">
      <w:pPr>
        <w:jc w:val="both"/>
        <w:rPr>
          <w:sz w:val="24"/>
          <w:szCs w:val="24"/>
          <w:lang w:val="en-GB"/>
        </w:rPr>
      </w:pPr>
      <w:r>
        <w:rPr>
          <w:sz w:val="24"/>
          <w:szCs w:val="24"/>
          <w:lang w:val="en-GB"/>
        </w:rPr>
        <w:t xml:space="preserve">The company will be publishing its audited financial statements and annual report for 2023 on 27 March 2024. On the same day, Koenig &amp; Bauer will be holding a conference call (in English) for analysts and investors. The conference call will be subsequently available on the website.  </w:t>
      </w:r>
    </w:p>
    <w:p w14:paraId="5E0172DF" w14:textId="6E4A992C" w:rsidR="006D6B9B" w:rsidRDefault="006D6B9B">
      <w:pPr>
        <w:jc w:val="both"/>
        <w:rPr>
          <w:sz w:val="24"/>
          <w:szCs w:val="24"/>
          <w:lang w:val="en-GB"/>
        </w:rPr>
      </w:pPr>
    </w:p>
    <w:p w14:paraId="3EE31D4D" w14:textId="34FEA027" w:rsidR="00315876" w:rsidRDefault="00315876">
      <w:pPr>
        <w:jc w:val="both"/>
        <w:rPr>
          <w:sz w:val="24"/>
          <w:szCs w:val="24"/>
          <w:lang w:val="en-US"/>
        </w:rPr>
      </w:pPr>
    </w:p>
    <w:p w14:paraId="2752CC77" w14:textId="77777777" w:rsidR="00D813A6" w:rsidRPr="009F1B34" w:rsidRDefault="00D813A6">
      <w:pPr>
        <w:jc w:val="both"/>
        <w:rPr>
          <w:sz w:val="24"/>
          <w:szCs w:val="24"/>
          <w:lang w:val="en-US"/>
        </w:rPr>
      </w:pPr>
    </w:p>
    <w:p w14:paraId="1795AA25" w14:textId="77777777" w:rsidR="006D6B9B" w:rsidRPr="00EE0592" w:rsidRDefault="006D6B9B">
      <w:pPr>
        <w:jc w:val="both"/>
        <w:rPr>
          <w:color w:val="000000"/>
          <w:sz w:val="24"/>
          <w:szCs w:val="24"/>
          <w:lang w:val="en-US"/>
        </w:rPr>
      </w:pPr>
    </w:p>
    <w:tbl>
      <w:tblPr>
        <w:tblStyle w:val="Tabellenraster"/>
        <w:tblW w:w="0" w:type="auto"/>
        <w:tblLook w:val="04A0" w:firstRow="1" w:lastRow="0" w:firstColumn="1" w:lastColumn="0" w:noHBand="0" w:noVBand="1"/>
      </w:tblPr>
      <w:tblGrid>
        <w:gridCol w:w="3020"/>
        <w:gridCol w:w="3020"/>
        <w:gridCol w:w="3020"/>
      </w:tblGrid>
      <w:tr w:rsidR="006D6B9B" w14:paraId="59568047" w14:textId="77777777" w:rsidTr="000C54F6">
        <w:tc>
          <w:tcPr>
            <w:tcW w:w="3020" w:type="dxa"/>
          </w:tcPr>
          <w:p w14:paraId="26368D89" w14:textId="6DF46D7B" w:rsidR="006D6B9B" w:rsidRDefault="006D6B9B" w:rsidP="000C54F6">
            <w:bookmarkStart w:id="6" w:name="_heading=h.3znysh7" w:colFirst="0" w:colLast="0"/>
            <w:bookmarkEnd w:id="6"/>
            <w:r w:rsidRPr="00315876">
              <w:rPr>
                <w:sz w:val="18"/>
              </w:rPr>
              <w:t>€m</w:t>
            </w:r>
          </w:p>
        </w:tc>
        <w:tc>
          <w:tcPr>
            <w:tcW w:w="3020" w:type="dxa"/>
          </w:tcPr>
          <w:p w14:paraId="15E0973D" w14:textId="77777777" w:rsidR="006D6B9B" w:rsidRDefault="006D6B9B" w:rsidP="000C54F6">
            <w:r>
              <w:t>2022</w:t>
            </w:r>
          </w:p>
        </w:tc>
        <w:tc>
          <w:tcPr>
            <w:tcW w:w="3020" w:type="dxa"/>
          </w:tcPr>
          <w:p w14:paraId="6416CA29" w14:textId="77777777" w:rsidR="006D6B9B" w:rsidRDefault="006D6B9B" w:rsidP="000C54F6">
            <w:r>
              <w:t>2023</w:t>
            </w:r>
          </w:p>
        </w:tc>
      </w:tr>
      <w:tr w:rsidR="006D6B9B" w:rsidRPr="004E1DC9" w14:paraId="72217073" w14:textId="77777777" w:rsidTr="000C54F6">
        <w:tc>
          <w:tcPr>
            <w:tcW w:w="9060" w:type="dxa"/>
            <w:gridSpan w:val="3"/>
          </w:tcPr>
          <w:p w14:paraId="66840785" w14:textId="63EA5834" w:rsidR="006D6B9B" w:rsidRPr="004E1DC9" w:rsidRDefault="006D6B9B" w:rsidP="000C54F6">
            <w:pPr>
              <w:rPr>
                <w:b/>
              </w:rPr>
            </w:pPr>
            <w:r>
              <w:rPr>
                <w:b/>
                <w:sz w:val="22"/>
              </w:rPr>
              <w:t xml:space="preserve">Order </w:t>
            </w:r>
            <w:proofErr w:type="spellStart"/>
            <w:r>
              <w:rPr>
                <w:b/>
                <w:sz w:val="22"/>
              </w:rPr>
              <w:t>Intake</w:t>
            </w:r>
            <w:proofErr w:type="spellEnd"/>
          </w:p>
        </w:tc>
      </w:tr>
      <w:tr w:rsidR="006D6B9B" w14:paraId="7CEDA585" w14:textId="77777777" w:rsidTr="000C54F6">
        <w:tc>
          <w:tcPr>
            <w:tcW w:w="3020" w:type="dxa"/>
          </w:tcPr>
          <w:p w14:paraId="07E3E4A4" w14:textId="77777777" w:rsidR="006D6B9B" w:rsidRDefault="006D6B9B" w:rsidP="000C54F6">
            <w:r>
              <w:t>Sheetfed</w:t>
            </w:r>
          </w:p>
        </w:tc>
        <w:tc>
          <w:tcPr>
            <w:tcW w:w="3020" w:type="dxa"/>
          </w:tcPr>
          <w:p w14:paraId="4CC71A9B" w14:textId="586CD6A0" w:rsidR="006D6B9B" w:rsidRDefault="006D6B9B" w:rsidP="000C54F6">
            <w:r>
              <w:t>813.5</w:t>
            </w:r>
          </w:p>
        </w:tc>
        <w:tc>
          <w:tcPr>
            <w:tcW w:w="3020" w:type="dxa"/>
          </w:tcPr>
          <w:p w14:paraId="0D547A8A" w14:textId="1D6E16AF" w:rsidR="006D6B9B" w:rsidRDefault="006D6B9B" w:rsidP="000C54F6">
            <w:r>
              <w:t>606.2</w:t>
            </w:r>
          </w:p>
        </w:tc>
      </w:tr>
      <w:tr w:rsidR="006D6B9B" w14:paraId="21965F9F" w14:textId="77777777" w:rsidTr="000C54F6">
        <w:tc>
          <w:tcPr>
            <w:tcW w:w="3020" w:type="dxa"/>
          </w:tcPr>
          <w:p w14:paraId="43F3D1A8" w14:textId="77777777" w:rsidR="006D6B9B" w:rsidRDefault="006D6B9B" w:rsidP="000C54F6">
            <w:r>
              <w:t>Digital &amp; Webfed</w:t>
            </w:r>
          </w:p>
        </w:tc>
        <w:tc>
          <w:tcPr>
            <w:tcW w:w="3020" w:type="dxa"/>
          </w:tcPr>
          <w:p w14:paraId="7BBEFB0F" w14:textId="55355020" w:rsidR="006D6B9B" w:rsidRDefault="006D6B9B" w:rsidP="000C54F6">
            <w:r>
              <w:t>163.6</w:t>
            </w:r>
          </w:p>
        </w:tc>
        <w:tc>
          <w:tcPr>
            <w:tcW w:w="3020" w:type="dxa"/>
          </w:tcPr>
          <w:p w14:paraId="68B27744" w14:textId="2005D7C4" w:rsidR="006D6B9B" w:rsidRDefault="006D6B9B" w:rsidP="000C54F6">
            <w:r>
              <w:t>179.8</w:t>
            </w:r>
          </w:p>
        </w:tc>
      </w:tr>
      <w:tr w:rsidR="006D6B9B" w14:paraId="0382C698" w14:textId="77777777" w:rsidTr="000C54F6">
        <w:tc>
          <w:tcPr>
            <w:tcW w:w="3020" w:type="dxa"/>
          </w:tcPr>
          <w:p w14:paraId="20DF0A2A" w14:textId="77777777" w:rsidR="006D6B9B" w:rsidRDefault="006D6B9B" w:rsidP="000C54F6">
            <w:r>
              <w:t>Special</w:t>
            </w:r>
          </w:p>
        </w:tc>
        <w:tc>
          <w:tcPr>
            <w:tcW w:w="3020" w:type="dxa"/>
          </w:tcPr>
          <w:p w14:paraId="2795B7F7" w14:textId="6F730724" w:rsidR="006D6B9B" w:rsidRDefault="006D6B9B" w:rsidP="000C54F6">
            <w:r>
              <w:t>392.9</w:t>
            </w:r>
          </w:p>
        </w:tc>
        <w:tc>
          <w:tcPr>
            <w:tcW w:w="3020" w:type="dxa"/>
          </w:tcPr>
          <w:p w14:paraId="35BF35E1" w14:textId="20EAC223" w:rsidR="006D6B9B" w:rsidRDefault="006D6B9B" w:rsidP="000C54F6">
            <w:r>
              <w:t>538.8</w:t>
            </w:r>
          </w:p>
        </w:tc>
      </w:tr>
      <w:tr w:rsidR="006D6B9B" w14:paraId="78D52A7C" w14:textId="77777777" w:rsidTr="000C54F6">
        <w:tc>
          <w:tcPr>
            <w:tcW w:w="3020" w:type="dxa"/>
          </w:tcPr>
          <w:p w14:paraId="4B095E21" w14:textId="06A1EC0E" w:rsidR="006D6B9B" w:rsidRDefault="006D6B9B" w:rsidP="000C54F6">
            <w:proofErr w:type="spellStart"/>
            <w:r>
              <w:t>Reconciliation</w:t>
            </w:r>
            <w:proofErr w:type="spellEnd"/>
          </w:p>
        </w:tc>
        <w:tc>
          <w:tcPr>
            <w:tcW w:w="3020" w:type="dxa"/>
          </w:tcPr>
          <w:p w14:paraId="416CF892" w14:textId="5F22FC30" w:rsidR="006D6B9B" w:rsidRDefault="006D6B9B" w:rsidP="000C54F6">
            <w:r>
              <w:t>-40.7</w:t>
            </w:r>
          </w:p>
        </w:tc>
        <w:tc>
          <w:tcPr>
            <w:tcW w:w="3020" w:type="dxa"/>
          </w:tcPr>
          <w:p w14:paraId="0C88D80D" w14:textId="67473695" w:rsidR="006D6B9B" w:rsidRDefault="006D6B9B" w:rsidP="000C54F6">
            <w:r>
              <w:t>-36.9</w:t>
            </w:r>
          </w:p>
        </w:tc>
      </w:tr>
      <w:tr w:rsidR="006D6B9B" w:rsidRPr="00AE0F2E" w14:paraId="48EF47A2" w14:textId="77777777" w:rsidTr="000C54F6">
        <w:tc>
          <w:tcPr>
            <w:tcW w:w="3020" w:type="dxa"/>
          </w:tcPr>
          <w:p w14:paraId="24CBC6FE" w14:textId="1D498657" w:rsidR="006D6B9B" w:rsidRPr="00AE0F2E" w:rsidRDefault="006D6B9B" w:rsidP="000C54F6">
            <w:pPr>
              <w:rPr>
                <w:b/>
              </w:rPr>
            </w:pPr>
            <w:r>
              <w:rPr>
                <w:b/>
              </w:rPr>
              <w:t>Total</w:t>
            </w:r>
          </w:p>
        </w:tc>
        <w:tc>
          <w:tcPr>
            <w:tcW w:w="3020" w:type="dxa"/>
          </w:tcPr>
          <w:p w14:paraId="389DC023" w14:textId="184DBE77" w:rsidR="006D6B9B" w:rsidRPr="00AE0F2E" w:rsidRDefault="006D6B9B" w:rsidP="000C54F6">
            <w:pPr>
              <w:rPr>
                <w:b/>
              </w:rPr>
            </w:pPr>
            <w:r>
              <w:rPr>
                <w:b/>
              </w:rPr>
              <w:t>1,329.</w:t>
            </w:r>
            <w:r w:rsidRPr="00AE0F2E">
              <w:rPr>
                <w:b/>
              </w:rPr>
              <w:t>3</w:t>
            </w:r>
          </w:p>
        </w:tc>
        <w:tc>
          <w:tcPr>
            <w:tcW w:w="3020" w:type="dxa"/>
          </w:tcPr>
          <w:p w14:paraId="16E0CB98" w14:textId="64D48376" w:rsidR="006D6B9B" w:rsidRPr="00AE0F2E" w:rsidRDefault="006D6B9B" w:rsidP="000C54F6">
            <w:pPr>
              <w:rPr>
                <w:b/>
              </w:rPr>
            </w:pPr>
            <w:r w:rsidRPr="00AE0F2E">
              <w:rPr>
                <w:b/>
              </w:rPr>
              <w:t>1</w:t>
            </w:r>
            <w:r>
              <w:rPr>
                <w:b/>
              </w:rPr>
              <w:t>,287.</w:t>
            </w:r>
            <w:r w:rsidRPr="00AE0F2E">
              <w:rPr>
                <w:b/>
              </w:rPr>
              <w:t>9</w:t>
            </w:r>
          </w:p>
        </w:tc>
      </w:tr>
      <w:tr w:rsidR="001E4BEC" w:rsidRPr="004E1DC9" w14:paraId="4B582B37" w14:textId="77777777" w:rsidTr="000C54F6">
        <w:tc>
          <w:tcPr>
            <w:tcW w:w="9060" w:type="dxa"/>
            <w:gridSpan w:val="3"/>
          </w:tcPr>
          <w:p w14:paraId="6F73DFA8" w14:textId="77777777" w:rsidR="001E4BEC" w:rsidRPr="001E4BEC" w:rsidRDefault="001E4BEC" w:rsidP="000C54F6">
            <w:pPr>
              <w:rPr>
                <w:b/>
                <w:sz w:val="12"/>
              </w:rPr>
            </w:pPr>
          </w:p>
        </w:tc>
      </w:tr>
      <w:tr w:rsidR="006D6B9B" w:rsidRPr="004E1DC9" w14:paraId="5C38334B" w14:textId="77777777" w:rsidTr="000C54F6">
        <w:tc>
          <w:tcPr>
            <w:tcW w:w="9060" w:type="dxa"/>
            <w:gridSpan w:val="3"/>
          </w:tcPr>
          <w:p w14:paraId="1E9BDB49" w14:textId="331F6EFE" w:rsidR="006D6B9B" w:rsidRPr="004E1DC9" w:rsidRDefault="006D6B9B" w:rsidP="000C54F6">
            <w:pPr>
              <w:rPr>
                <w:b/>
              </w:rPr>
            </w:pPr>
            <w:r>
              <w:rPr>
                <w:b/>
                <w:sz w:val="22"/>
              </w:rPr>
              <w:t>Revenue</w:t>
            </w:r>
          </w:p>
        </w:tc>
      </w:tr>
      <w:tr w:rsidR="006D6B9B" w14:paraId="68A0C74D" w14:textId="77777777" w:rsidTr="000C54F6">
        <w:tc>
          <w:tcPr>
            <w:tcW w:w="3020" w:type="dxa"/>
          </w:tcPr>
          <w:p w14:paraId="7314B1CA" w14:textId="77777777" w:rsidR="006D6B9B" w:rsidRDefault="006D6B9B" w:rsidP="000C54F6">
            <w:r>
              <w:t>Sheetfed</w:t>
            </w:r>
          </w:p>
        </w:tc>
        <w:tc>
          <w:tcPr>
            <w:tcW w:w="3020" w:type="dxa"/>
          </w:tcPr>
          <w:p w14:paraId="7BF581A6" w14:textId="4594D758" w:rsidR="006D6B9B" w:rsidRDefault="006D6B9B" w:rsidP="000C54F6">
            <w:r>
              <w:t>672.2</w:t>
            </w:r>
          </w:p>
        </w:tc>
        <w:tc>
          <w:tcPr>
            <w:tcW w:w="3020" w:type="dxa"/>
          </w:tcPr>
          <w:p w14:paraId="147BB378" w14:textId="0CE2B245" w:rsidR="006D6B9B" w:rsidRDefault="006D6B9B" w:rsidP="000C54F6">
            <w:r>
              <w:t>779.8</w:t>
            </w:r>
          </w:p>
        </w:tc>
      </w:tr>
      <w:tr w:rsidR="006D6B9B" w14:paraId="248E9023" w14:textId="77777777" w:rsidTr="000C54F6">
        <w:tc>
          <w:tcPr>
            <w:tcW w:w="3020" w:type="dxa"/>
          </w:tcPr>
          <w:p w14:paraId="7B0AC476" w14:textId="77777777" w:rsidR="006D6B9B" w:rsidRDefault="006D6B9B" w:rsidP="000C54F6">
            <w:r>
              <w:t>Digital &amp; Webfed</w:t>
            </w:r>
          </w:p>
        </w:tc>
        <w:tc>
          <w:tcPr>
            <w:tcW w:w="3020" w:type="dxa"/>
          </w:tcPr>
          <w:p w14:paraId="671FEDDB" w14:textId="6DE90573" w:rsidR="006D6B9B" w:rsidRDefault="006D6B9B" w:rsidP="000C54F6">
            <w:r>
              <w:t>139.8</w:t>
            </w:r>
          </w:p>
        </w:tc>
        <w:tc>
          <w:tcPr>
            <w:tcW w:w="3020" w:type="dxa"/>
          </w:tcPr>
          <w:p w14:paraId="4EF4E8AA" w14:textId="278F6D7B" w:rsidR="006D6B9B" w:rsidRDefault="006D6B9B" w:rsidP="000C54F6">
            <w:r>
              <w:t>172.3</w:t>
            </w:r>
          </w:p>
        </w:tc>
      </w:tr>
      <w:tr w:rsidR="006D6B9B" w14:paraId="7ADB2E39" w14:textId="77777777" w:rsidTr="000C54F6">
        <w:tc>
          <w:tcPr>
            <w:tcW w:w="3020" w:type="dxa"/>
          </w:tcPr>
          <w:p w14:paraId="0C3C420B" w14:textId="77777777" w:rsidR="006D6B9B" w:rsidRDefault="006D6B9B" w:rsidP="000C54F6">
            <w:r>
              <w:t>Special</w:t>
            </w:r>
          </w:p>
        </w:tc>
        <w:tc>
          <w:tcPr>
            <w:tcW w:w="3020" w:type="dxa"/>
          </w:tcPr>
          <w:p w14:paraId="7EBE63BA" w14:textId="28F999D1" w:rsidR="006D6B9B" w:rsidRDefault="006D6B9B" w:rsidP="000C54F6">
            <w:r>
              <w:t>417.1</w:t>
            </w:r>
          </w:p>
        </w:tc>
        <w:tc>
          <w:tcPr>
            <w:tcW w:w="3020" w:type="dxa"/>
          </w:tcPr>
          <w:p w14:paraId="6904DE90" w14:textId="5B08E578" w:rsidR="006D6B9B" w:rsidRDefault="006D6B9B" w:rsidP="000C54F6">
            <w:r>
              <w:t>413.7</w:t>
            </w:r>
          </w:p>
        </w:tc>
      </w:tr>
      <w:tr w:rsidR="006D6B9B" w14:paraId="31DD0BBB" w14:textId="77777777" w:rsidTr="000C54F6">
        <w:tc>
          <w:tcPr>
            <w:tcW w:w="3020" w:type="dxa"/>
          </w:tcPr>
          <w:p w14:paraId="458940D6" w14:textId="67B62D2B" w:rsidR="006D6B9B" w:rsidRDefault="006D6B9B" w:rsidP="000C54F6">
            <w:proofErr w:type="spellStart"/>
            <w:r>
              <w:t>Reconciliation</w:t>
            </w:r>
            <w:proofErr w:type="spellEnd"/>
          </w:p>
        </w:tc>
        <w:tc>
          <w:tcPr>
            <w:tcW w:w="3020" w:type="dxa"/>
          </w:tcPr>
          <w:p w14:paraId="3D891C99" w14:textId="5A02D1AA" w:rsidR="006D6B9B" w:rsidRDefault="006D6B9B" w:rsidP="000C54F6">
            <w:r>
              <w:t>-43.4</w:t>
            </w:r>
          </w:p>
        </w:tc>
        <w:tc>
          <w:tcPr>
            <w:tcW w:w="3020" w:type="dxa"/>
          </w:tcPr>
          <w:p w14:paraId="501ADEAA" w14:textId="05CC8D7F" w:rsidR="006D6B9B" w:rsidRDefault="006D6B9B" w:rsidP="000C54F6">
            <w:r>
              <w:t>-39.0</w:t>
            </w:r>
          </w:p>
        </w:tc>
      </w:tr>
      <w:tr w:rsidR="006D6B9B" w:rsidRPr="00AE0F2E" w14:paraId="59D43AE7" w14:textId="77777777" w:rsidTr="000C54F6">
        <w:tc>
          <w:tcPr>
            <w:tcW w:w="3020" w:type="dxa"/>
          </w:tcPr>
          <w:p w14:paraId="0817D4F6" w14:textId="24BBB1C0" w:rsidR="006D6B9B" w:rsidRPr="00AE0F2E" w:rsidRDefault="006D6B9B" w:rsidP="000C54F6">
            <w:pPr>
              <w:rPr>
                <w:b/>
              </w:rPr>
            </w:pPr>
            <w:r>
              <w:rPr>
                <w:b/>
              </w:rPr>
              <w:t>Total</w:t>
            </w:r>
          </w:p>
        </w:tc>
        <w:tc>
          <w:tcPr>
            <w:tcW w:w="3020" w:type="dxa"/>
          </w:tcPr>
          <w:p w14:paraId="1551948C" w14:textId="05920426" w:rsidR="006D6B9B" w:rsidRPr="00AE0F2E" w:rsidRDefault="006D6B9B" w:rsidP="000C54F6">
            <w:pPr>
              <w:rPr>
                <w:b/>
              </w:rPr>
            </w:pPr>
            <w:r>
              <w:rPr>
                <w:b/>
              </w:rPr>
              <w:t>1,185.</w:t>
            </w:r>
            <w:r w:rsidRPr="00AE0F2E">
              <w:rPr>
                <w:b/>
              </w:rPr>
              <w:t>7</w:t>
            </w:r>
          </w:p>
        </w:tc>
        <w:tc>
          <w:tcPr>
            <w:tcW w:w="3020" w:type="dxa"/>
          </w:tcPr>
          <w:p w14:paraId="75BC74A8" w14:textId="3EC9B625" w:rsidR="006D6B9B" w:rsidRPr="00AE0F2E" w:rsidRDefault="006D6B9B" w:rsidP="000C54F6">
            <w:pPr>
              <w:rPr>
                <w:b/>
              </w:rPr>
            </w:pPr>
            <w:r>
              <w:rPr>
                <w:b/>
              </w:rPr>
              <w:t>1,326.</w:t>
            </w:r>
            <w:r w:rsidRPr="00AE0F2E">
              <w:rPr>
                <w:b/>
              </w:rPr>
              <w:t>8</w:t>
            </w:r>
          </w:p>
        </w:tc>
      </w:tr>
      <w:tr w:rsidR="001E4BEC" w:rsidRPr="001E4BEC" w14:paraId="58B3E003" w14:textId="77777777" w:rsidTr="000C54F6">
        <w:tc>
          <w:tcPr>
            <w:tcW w:w="9060" w:type="dxa"/>
            <w:gridSpan w:val="3"/>
          </w:tcPr>
          <w:p w14:paraId="23ED110D" w14:textId="77777777" w:rsidR="001E4BEC" w:rsidRPr="001E4BEC" w:rsidRDefault="001E4BEC" w:rsidP="000C54F6">
            <w:pPr>
              <w:rPr>
                <w:b/>
                <w:sz w:val="12"/>
              </w:rPr>
            </w:pPr>
          </w:p>
        </w:tc>
      </w:tr>
      <w:tr w:rsidR="006D6B9B" w:rsidRPr="004E1DC9" w14:paraId="07513D71" w14:textId="77777777" w:rsidTr="000C54F6">
        <w:tc>
          <w:tcPr>
            <w:tcW w:w="9060" w:type="dxa"/>
            <w:gridSpan w:val="3"/>
          </w:tcPr>
          <w:p w14:paraId="3DE4A315" w14:textId="77777777" w:rsidR="006D6B9B" w:rsidRPr="004E1DC9" w:rsidRDefault="006D6B9B" w:rsidP="000C54F6">
            <w:pPr>
              <w:rPr>
                <w:b/>
              </w:rPr>
            </w:pPr>
            <w:r w:rsidRPr="004E1DC9">
              <w:rPr>
                <w:b/>
                <w:sz w:val="22"/>
              </w:rPr>
              <w:t>EBIT</w:t>
            </w:r>
          </w:p>
        </w:tc>
      </w:tr>
      <w:tr w:rsidR="006D6B9B" w14:paraId="79FA4BFB" w14:textId="77777777" w:rsidTr="000C54F6">
        <w:tc>
          <w:tcPr>
            <w:tcW w:w="3020" w:type="dxa"/>
          </w:tcPr>
          <w:p w14:paraId="52AEBF3D" w14:textId="77777777" w:rsidR="006D6B9B" w:rsidRDefault="006D6B9B" w:rsidP="000C54F6">
            <w:r>
              <w:t>Sheetfed</w:t>
            </w:r>
          </w:p>
        </w:tc>
        <w:tc>
          <w:tcPr>
            <w:tcW w:w="3020" w:type="dxa"/>
          </w:tcPr>
          <w:p w14:paraId="14EB60ED" w14:textId="40F61491" w:rsidR="006D6B9B" w:rsidRDefault="006D6B9B" w:rsidP="000C54F6">
            <w:r>
              <w:t>19.0</w:t>
            </w:r>
          </w:p>
        </w:tc>
        <w:tc>
          <w:tcPr>
            <w:tcW w:w="3020" w:type="dxa"/>
          </w:tcPr>
          <w:p w14:paraId="24F22ECE" w14:textId="5C8BEECF" w:rsidR="006D6B9B" w:rsidRDefault="006D6B9B" w:rsidP="000C54F6">
            <w:r>
              <w:t>29.8</w:t>
            </w:r>
          </w:p>
        </w:tc>
      </w:tr>
      <w:tr w:rsidR="006D6B9B" w14:paraId="4DD12AFC" w14:textId="77777777" w:rsidTr="000C54F6">
        <w:tc>
          <w:tcPr>
            <w:tcW w:w="3020" w:type="dxa"/>
          </w:tcPr>
          <w:p w14:paraId="1241D067" w14:textId="77777777" w:rsidR="006D6B9B" w:rsidRDefault="006D6B9B" w:rsidP="000C54F6">
            <w:r>
              <w:t>Digital &amp; Webfed</w:t>
            </w:r>
          </w:p>
        </w:tc>
        <w:tc>
          <w:tcPr>
            <w:tcW w:w="3020" w:type="dxa"/>
          </w:tcPr>
          <w:p w14:paraId="01E4A868" w14:textId="3740BE16" w:rsidR="006D6B9B" w:rsidRDefault="006D6B9B" w:rsidP="000C54F6">
            <w:r>
              <w:t>-19.3</w:t>
            </w:r>
          </w:p>
        </w:tc>
        <w:tc>
          <w:tcPr>
            <w:tcW w:w="3020" w:type="dxa"/>
          </w:tcPr>
          <w:p w14:paraId="3C1D5EF8" w14:textId="68CDC58E" w:rsidR="006D6B9B" w:rsidRDefault="006D6B9B" w:rsidP="000C54F6">
            <w:r>
              <w:t>-23.9</w:t>
            </w:r>
          </w:p>
        </w:tc>
      </w:tr>
      <w:tr w:rsidR="006D6B9B" w14:paraId="3EAC68FA" w14:textId="77777777" w:rsidTr="000C54F6">
        <w:tc>
          <w:tcPr>
            <w:tcW w:w="3020" w:type="dxa"/>
          </w:tcPr>
          <w:p w14:paraId="6C6ADCB0" w14:textId="77777777" w:rsidR="006D6B9B" w:rsidRDefault="006D6B9B" w:rsidP="000C54F6">
            <w:r>
              <w:t>Special</w:t>
            </w:r>
          </w:p>
        </w:tc>
        <w:tc>
          <w:tcPr>
            <w:tcW w:w="3020" w:type="dxa"/>
          </w:tcPr>
          <w:p w14:paraId="5AA12F4B" w14:textId="469430EC" w:rsidR="006D6B9B" w:rsidRDefault="006D6B9B" w:rsidP="000C54F6">
            <w:r>
              <w:t>23.2</w:t>
            </w:r>
          </w:p>
        </w:tc>
        <w:tc>
          <w:tcPr>
            <w:tcW w:w="3020" w:type="dxa"/>
          </w:tcPr>
          <w:p w14:paraId="74A024B0" w14:textId="2F551DA6" w:rsidR="006D6B9B" w:rsidRDefault="006D6B9B" w:rsidP="000C54F6">
            <w:r>
              <w:t>23.0</w:t>
            </w:r>
          </w:p>
        </w:tc>
      </w:tr>
      <w:tr w:rsidR="006D6B9B" w14:paraId="4F5AA241" w14:textId="77777777" w:rsidTr="000C54F6">
        <w:tc>
          <w:tcPr>
            <w:tcW w:w="3020" w:type="dxa"/>
          </w:tcPr>
          <w:p w14:paraId="77440E2B" w14:textId="4E14B08B" w:rsidR="006D6B9B" w:rsidRDefault="006D6B9B" w:rsidP="000C54F6">
            <w:proofErr w:type="spellStart"/>
            <w:r>
              <w:t>Reconciliation</w:t>
            </w:r>
            <w:proofErr w:type="spellEnd"/>
          </w:p>
        </w:tc>
        <w:tc>
          <w:tcPr>
            <w:tcW w:w="3020" w:type="dxa"/>
          </w:tcPr>
          <w:p w14:paraId="08E06F2D" w14:textId="438E59E0" w:rsidR="006D6B9B" w:rsidRDefault="006D6B9B" w:rsidP="000C54F6">
            <w:r>
              <w:t>-0.9</w:t>
            </w:r>
          </w:p>
        </w:tc>
        <w:tc>
          <w:tcPr>
            <w:tcW w:w="3020" w:type="dxa"/>
          </w:tcPr>
          <w:p w14:paraId="2515C606" w14:textId="3B3427A9" w:rsidR="006D6B9B" w:rsidRDefault="006D6B9B" w:rsidP="000C54F6">
            <w:r>
              <w:t>1.0</w:t>
            </w:r>
          </w:p>
        </w:tc>
      </w:tr>
      <w:tr w:rsidR="006D6B9B" w:rsidRPr="00AE0F2E" w14:paraId="0FDC4EDA" w14:textId="77777777" w:rsidTr="00315876">
        <w:trPr>
          <w:trHeight w:val="43"/>
        </w:trPr>
        <w:tc>
          <w:tcPr>
            <w:tcW w:w="3020" w:type="dxa"/>
          </w:tcPr>
          <w:p w14:paraId="630F7BCA" w14:textId="2CC2B696" w:rsidR="006D6B9B" w:rsidRPr="00AE0F2E" w:rsidRDefault="006D6B9B" w:rsidP="000C54F6">
            <w:pPr>
              <w:rPr>
                <w:b/>
              </w:rPr>
            </w:pPr>
            <w:r>
              <w:rPr>
                <w:b/>
              </w:rPr>
              <w:t>Total</w:t>
            </w:r>
          </w:p>
        </w:tc>
        <w:tc>
          <w:tcPr>
            <w:tcW w:w="3020" w:type="dxa"/>
          </w:tcPr>
          <w:p w14:paraId="640CEEF7" w14:textId="2C69AAEA" w:rsidR="006D6B9B" w:rsidRPr="00AE0F2E" w:rsidRDefault="006D6B9B" w:rsidP="000C54F6">
            <w:pPr>
              <w:rPr>
                <w:b/>
              </w:rPr>
            </w:pPr>
            <w:r>
              <w:rPr>
                <w:b/>
              </w:rPr>
              <w:t>22.</w:t>
            </w:r>
            <w:r w:rsidRPr="00AE0F2E">
              <w:rPr>
                <w:b/>
              </w:rPr>
              <w:t>0</w:t>
            </w:r>
          </w:p>
        </w:tc>
        <w:tc>
          <w:tcPr>
            <w:tcW w:w="3020" w:type="dxa"/>
          </w:tcPr>
          <w:p w14:paraId="5F3859DD" w14:textId="18FD6AEB" w:rsidR="006D6B9B" w:rsidRPr="00AE0F2E" w:rsidRDefault="006D6B9B" w:rsidP="000C54F6">
            <w:pPr>
              <w:rPr>
                <w:b/>
              </w:rPr>
            </w:pPr>
            <w:r>
              <w:rPr>
                <w:b/>
              </w:rPr>
              <w:t>29.</w:t>
            </w:r>
            <w:r w:rsidRPr="00AE0F2E">
              <w:rPr>
                <w:b/>
              </w:rPr>
              <w:t>9</w:t>
            </w:r>
          </w:p>
        </w:tc>
      </w:tr>
    </w:tbl>
    <w:p w14:paraId="103030AE" w14:textId="77777777" w:rsidR="00792C30" w:rsidRPr="00EE0592" w:rsidRDefault="00792C30">
      <w:pPr>
        <w:rPr>
          <w:lang w:val="en-US"/>
        </w:rPr>
      </w:pPr>
    </w:p>
    <w:p w14:paraId="23C83A23" w14:textId="77777777" w:rsidR="00792C30" w:rsidRPr="00EE0592" w:rsidRDefault="00792C30">
      <w:pPr>
        <w:rPr>
          <w:lang w:val="en-US"/>
        </w:rPr>
      </w:pPr>
    </w:p>
    <w:p w14:paraId="536B09A9" w14:textId="77777777" w:rsidR="00792C30" w:rsidRPr="00EE0592" w:rsidRDefault="00792C30">
      <w:pPr>
        <w:rPr>
          <w:lang w:val="en-US"/>
        </w:rPr>
      </w:pPr>
    </w:p>
    <w:p w14:paraId="4C5E7408" w14:textId="77777777" w:rsidR="00792C30" w:rsidRDefault="00AF31DA">
      <w:pPr>
        <w:pStyle w:val="berschrift4"/>
      </w:pPr>
      <w:bookmarkStart w:id="7" w:name="_heading=h.2et92p0" w:colFirst="0" w:colLast="0"/>
      <w:bookmarkEnd w:id="7"/>
      <w:proofErr w:type="spellStart"/>
      <w:r w:rsidRPr="00EE0592">
        <w:rPr>
          <w:bCs/>
        </w:rPr>
        <w:t>Contact</w:t>
      </w:r>
      <w:proofErr w:type="spellEnd"/>
      <w:r w:rsidRPr="00EE0592">
        <w:rPr>
          <w:bCs/>
        </w:rPr>
        <w:t xml:space="preserve"> </w:t>
      </w:r>
      <w:proofErr w:type="spellStart"/>
      <w:r w:rsidRPr="00EE0592">
        <w:rPr>
          <w:bCs/>
        </w:rPr>
        <w:t>information</w:t>
      </w:r>
      <w:proofErr w:type="spellEnd"/>
      <w:r w:rsidRPr="00EE0592">
        <w:rPr>
          <w:bCs/>
        </w:rPr>
        <w:t xml:space="preserve"> </w:t>
      </w:r>
      <w:proofErr w:type="spellStart"/>
      <w:r w:rsidRPr="00EE0592">
        <w:rPr>
          <w:bCs/>
        </w:rPr>
        <w:t>for</w:t>
      </w:r>
      <w:proofErr w:type="spellEnd"/>
      <w:r w:rsidRPr="00EE0592">
        <w:rPr>
          <w:bCs/>
        </w:rPr>
        <w:t xml:space="preserve"> </w:t>
      </w:r>
      <w:proofErr w:type="spellStart"/>
      <w:r w:rsidRPr="00EE0592">
        <w:rPr>
          <w:bCs/>
        </w:rPr>
        <w:t>investor</w:t>
      </w:r>
      <w:proofErr w:type="spellEnd"/>
      <w:r w:rsidRPr="00EE0592">
        <w:rPr>
          <w:bCs/>
        </w:rPr>
        <w:t xml:space="preserve"> </w:t>
      </w:r>
      <w:proofErr w:type="spellStart"/>
      <w:r w:rsidRPr="00EE0592">
        <w:rPr>
          <w:bCs/>
        </w:rPr>
        <w:t>relations</w:t>
      </w:r>
      <w:proofErr w:type="spellEnd"/>
    </w:p>
    <w:p w14:paraId="5E96365D" w14:textId="77777777" w:rsidR="00792C30" w:rsidRDefault="00AF31DA">
      <w:r w:rsidRPr="00EE0592">
        <w:t>Koenig &amp; Bauer AG</w:t>
      </w:r>
      <w:r w:rsidRPr="00EE0592">
        <w:br/>
        <w:t xml:space="preserve">Lena </w:t>
      </w:r>
      <w:proofErr w:type="spellStart"/>
      <w:r w:rsidRPr="00EE0592">
        <w:t>Landenberger</w:t>
      </w:r>
      <w:proofErr w:type="spellEnd"/>
      <w:r w:rsidRPr="00EE0592">
        <w:br/>
        <w:t>T +49 931 909-4085</w:t>
      </w:r>
      <w:r w:rsidRPr="00EE0592">
        <w:br/>
        <w:t xml:space="preserve">M </w:t>
      </w:r>
      <w:hyperlink r:id="rId8">
        <w:r w:rsidRPr="00EE0592">
          <w:rPr>
            <w:color w:val="0000FF"/>
            <w:u w:val="single"/>
          </w:rPr>
          <w:t>lena.landenberger@koenig-bauer.com</w:t>
        </w:r>
      </w:hyperlink>
    </w:p>
    <w:p w14:paraId="43B0775C" w14:textId="77777777" w:rsidR="00792C30" w:rsidRPr="00EE0592" w:rsidRDefault="00AF31DA">
      <w:pPr>
        <w:pBdr>
          <w:top w:val="nil"/>
          <w:left w:val="nil"/>
          <w:bottom w:val="nil"/>
          <w:right w:val="nil"/>
          <w:between w:val="nil"/>
        </w:pBdr>
        <w:shd w:val="clear" w:color="auto" w:fill="FFFFFF"/>
        <w:spacing w:after="0" w:line="240" w:lineRule="auto"/>
        <w:jc w:val="both"/>
        <w:rPr>
          <w:lang w:val="en-US"/>
        </w:rPr>
      </w:pPr>
      <w:r>
        <w:rPr>
          <w:b/>
          <w:bCs/>
          <w:lang w:val="en-GB"/>
        </w:rPr>
        <w:t>About Koenig &amp; Bauer</w:t>
      </w:r>
    </w:p>
    <w:p w14:paraId="63DFDBA3" w14:textId="77777777" w:rsidR="00792C30" w:rsidRPr="00EE0592" w:rsidRDefault="00AF31DA">
      <w:pPr>
        <w:pBdr>
          <w:top w:val="nil"/>
          <w:left w:val="nil"/>
          <w:bottom w:val="nil"/>
          <w:right w:val="nil"/>
          <w:between w:val="nil"/>
        </w:pBdr>
        <w:shd w:val="clear" w:color="auto" w:fill="FFFFFF"/>
        <w:spacing w:after="0" w:line="240" w:lineRule="auto"/>
        <w:jc w:val="both"/>
        <w:rPr>
          <w:highlight w:val="white"/>
          <w:lang w:val="en-US"/>
        </w:rPr>
      </w:pPr>
      <w:r>
        <w:rPr>
          <w:highlight w:val="white"/>
          <w:lang w:val="en-GB"/>
        </w:rPr>
        <w:t xml:space="preserve">Based in </w:t>
      </w:r>
      <w:proofErr w:type="spellStart"/>
      <w:r>
        <w:rPr>
          <w:highlight w:val="white"/>
          <w:lang w:val="en-GB"/>
        </w:rPr>
        <w:t>Würzburg</w:t>
      </w:r>
      <w:proofErr w:type="spellEnd"/>
      <w:r>
        <w:rPr>
          <w:highlight w:val="white"/>
          <w:lang w:val="en-GB"/>
        </w:rPr>
        <w:t xml:space="preserve"> (Germany), Koenig &amp; Bauer is a global printing press manufacturer. It produces presses and software solutions for the entire printing and finishing process, primarily in the area of packaging. Koenig &amp; Bauer systems can print almost all substrates, including banknotes, cardboard, corrugated cardboard, foil, tin and glass packaging, books, displays, labelling, decors, magazines, advertising and newsprint. With a history spanning more than 200 years, Koenig &amp; Bauer is the world’s oldest printing press manufacturer and today masters almost all printing processes. Around 5,500 people work across the Group. Koenig &amp; Bauer produces at eleven locations in Europe and maintains a worldwide sales and service network. It reported revenue of over €1.3bn in 2023.</w:t>
      </w:r>
    </w:p>
    <w:p w14:paraId="1DF9E68A" w14:textId="77777777" w:rsidR="00792C30" w:rsidRPr="00EE0592" w:rsidRDefault="00792C30">
      <w:pPr>
        <w:pBdr>
          <w:top w:val="nil"/>
          <w:left w:val="nil"/>
          <w:bottom w:val="nil"/>
          <w:right w:val="nil"/>
          <w:between w:val="nil"/>
        </w:pBdr>
        <w:shd w:val="clear" w:color="auto" w:fill="FFFFFF"/>
        <w:spacing w:after="0" w:line="240" w:lineRule="auto"/>
        <w:jc w:val="both"/>
        <w:rPr>
          <w:highlight w:val="white"/>
          <w:lang w:val="en-US"/>
        </w:rPr>
      </w:pPr>
    </w:p>
    <w:p w14:paraId="170E0C4F" w14:textId="77777777" w:rsidR="00792C30" w:rsidRPr="00EE0592" w:rsidRDefault="00AF31DA">
      <w:pPr>
        <w:pBdr>
          <w:top w:val="nil"/>
          <w:left w:val="nil"/>
          <w:bottom w:val="nil"/>
          <w:right w:val="nil"/>
          <w:between w:val="nil"/>
        </w:pBdr>
        <w:shd w:val="clear" w:color="auto" w:fill="FFFFFF"/>
        <w:spacing w:line="250" w:lineRule="auto"/>
        <w:jc w:val="both"/>
        <w:rPr>
          <w:lang w:val="en-US"/>
        </w:rPr>
      </w:pPr>
      <w:r>
        <w:rPr>
          <w:highlight w:val="white"/>
          <w:lang w:val="en-GB"/>
        </w:rPr>
        <w:t xml:space="preserve">For more information, visit </w:t>
      </w:r>
      <w:hyperlink r:id="rId9">
        <w:r>
          <w:rPr>
            <w:color w:val="1155CC"/>
            <w:highlight w:val="white"/>
            <w:u w:val="single"/>
            <w:lang w:val="en-GB"/>
          </w:rPr>
          <w:t>www.koenig-bauer.com</w:t>
        </w:r>
      </w:hyperlink>
    </w:p>
    <w:p w14:paraId="10FAF3D1" w14:textId="77777777" w:rsidR="00792C30" w:rsidRPr="00EE0592" w:rsidRDefault="00792C30">
      <w:pPr>
        <w:pBdr>
          <w:top w:val="nil"/>
          <w:left w:val="nil"/>
          <w:bottom w:val="nil"/>
          <w:right w:val="nil"/>
          <w:between w:val="nil"/>
        </w:pBdr>
        <w:shd w:val="clear" w:color="auto" w:fill="FFFFFF"/>
        <w:spacing w:line="250" w:lineRule="auto"/>
        <w:jc w:val="both"/>
        <w:rPr>
          <w:lang w:val="en-US"/>
        </w:rPr>
      </w:pPr>
    </w:p>
    <w:sectPr w:rsidR="00792C30" w:rsidRPr="00EE0592">
      <w:headerReference w:type="even" r:id="rId10"/>
      <w:headerReference w:type="default" r:id="rId11"/>
      <w:footerReference w:type="even" r:id="rId12"/>
      <w:footerReference w:type="default" r:id="rId13"/>
      <w:headerReference w:type="first" r:id="rId14"/>
      <w:footerReference w:type="first" r:id="rId15"/>
      <w:pgSz w:w="11906" w:h="16838"/>
      <w:pgMar w:top="2381" w:right="1418" w:bottom="1361" w:left="1418" w:header="1020"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7A1DC" w14:textId="77777777" w:rsidR="00A86B14" w:rsidRDefault="00A86B14">
      <w:pPr>
        <w:spacing w:after="0" w:line="240" w:lineRule="auto"/>
      </w:pPr>
      <w:r>
        <w:separator/>
      </w:r>
    </w:p>
  </w:endnote>
  <w:endnote w:type="continuationSeparator" w:id="0">
    <w:p w14:paraId="55517322" w14:textId="77777777" w:rsidR="00A86B14" w:rsidRDefault="00A86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oenig&amp;Bauer T Light">
    <w:altName w:val="Calibri"/>
    <w:panose1 w:val="02010000030100000001"/>
    <w:charset w:val="00"/>
    <w:family w:val="auto"/>
    <w:pitch w:val="variable"/>
    <w:sig w:usb0="00000007" w:usb1="00000023"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5F796" w14:textId="77777777" w:rsidR="00792C30" w:rsidRDefault="00792C30">
    <w:pPr>
      <w:pBdr>
        <w:top w:val="nil"/>
        <w:left w:val="nil"/>
        <w:bottom w:val="nil"/>
        <w:right w:val="nil"/>
        <w:between w:val="nil"/>
      </w:pBdr>
      <w:tabs>
        <w:tab w:val="center" w:pos="4536"/>
        <w:tab w:val="right" w:pos="9072"/>
      </w:tabs>
      <w:jc w:val="right"/>
      <w:rPr>
        <w:color w:val="00000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B62EB" w14:textId="77777777" w:rsidR="00792C30" w:rsidRDefault="00792C30">
    <w:pPr>
      <w:widowControl w:val="0"/>
      <w:pBdr>
        <w:top w:val="nil"/>
        <w:left w:val="nil"/>
        <w:bottom w:val="nil"/>
        <w:right w:val="nil"/>
        <w:between w:val="nil"/>
      </w:pBdr>
      <w:spacing w:after="0"/>
      <w:rPr>
        <w:color w:val="000000"/>
        <w:sz w:val="14"/>
        <w:szCs w:val="14"/>
      </w:rPr>
    </w:pPr>
  </w:p>
  <w:tbl>
    <w:tblPr>
      <w:tblStyle w:val="a2"/>
      <w:tblW w:w="9060" w:type="dxa"/>
      <w:tblInd w:w="0" w:type="dxa"/>
      <w:tblBorders>
        <w:top w:val="single" w:sz="4" w:space="0" w:color="FFFFFF"/>
        <w:left w:val="single" w:sz="4" w:space="0" w:color="FFFFFF"/>
        <w:bottom w:val="single" w:sz="4" w:space="0" w:color="FFFFFF"/>
        <w:right w:val="single" w:sz="4" w:space="0" w:color="FFFFFF"/>
        <w:insideH w:val="single" w:sz="4" w:space="0" w:color="BFBFBF"/>
        <w:insideV w:val="single" w:sz="4" w:space="0" w:color="FFFFFF"/>
      </w:tblBorders>
      <w:tblLayout w:type="fixed"/>
      <w:tblLook w:val="0400" w:firstRow="0" w:lastRow="0" w:firstColumn="0" w:lastColumn="0" w:noHBand="0" w:noVBand="1"/>
    </w:tblPr>
    <w:tblGrid>
      <w:gridCol w:w="4530"/>
      <w:gridCol w:w="4530"/>
    </w:tblGrid>
    <w:tr w:rsidR="00792C30" w14:paraId="4F8AF90A" w14:textId="77777777">
      <w:tc>
        <w:tcPr>
          <w:tcW w:w="4530" w:type="dxa"/>
        </w:tcPr>
        <w:p w14:paraId="6DDE9FD2" w14:textId="77777777" w:rsidR="00792C30" w:rsidRDefault="00792C30">
          <w:pPr>
            <w:pBdr>
              <w:top w:val="nil"/>
              <w:left w:val="nil"/>
              <w:bottom w:val="nil"/>
              <w:right w:val="nil"/>
              <w:between w:val="nil"/>
            </w:pBdr>
            <w:tabs>
              <w:tab w:val="center" w:pos="4536"/>
              <w:tab w:val="right" w:pos="9072"/>
            </w:tabs>
            <w:rPr>
              <w:color w:val="000000"/>
              <w:sz w:val="14"/>
              <w:szCs w:val="14"/>
            </w:rPr>
          </w:pPr>
        </w:p>
      </w:tc>
      <w:tc>
        <w:tcPr>
          <w:tcW w:w="4530" w:type="dxa"/>
        </w:tcPr>
        <w:p w14:paraId="10A61BF3" w14:textId="617A1AAC" w:rsidR="00792C30" w:rsidRDefault="00D813A6">
          <w:pPr>
            <w:pBdr>
              <w:top w:val="nil"/>
              <w:left w:val="nil"/>
              <w:bottom w:val="nil"/>
              <w:right w:val="nil"/>
              <w:between w:val="nil"/>
            </w:pBdr>
            <w:tabs>
              <w:tab w:val="center" w:pos="4536"/>
              <w:tab w:val="right" w:pos="9072"/>
            </w:tabs>
            <w:jc w:val="right"/>
            <w:rPr>
              <w:color w:val="000000"/>
              <w:sz w:val="14"/>
              <w:szCs w:val="14"/>
            </w:rPr>
          </w:pPr>
          <w:r>
            <w:rPr>
              <w:sz w:val="14"/>
              <w:szCs w:val="14"/>
              <w:lang w:val="en-GB"/>
            </w:rPr>
            <w:t>Preliminary Figures</w:t>
          </w:r>
          <w:r w:rsidR="00AF31DA">
            <w:rPr>
              <w:sz w:val="14"/>
              <w:szCs w:val="14"/>
              <w:lang w:val="en-GB"/>
            </w:rPr>
            <w:t xml:space="preserve"> 2023</w:t>
          </w:r>
          <w:r w:rsidR="00AF31DA">
            <w:rPr>
              <w:color w:val="000000"/>
              <w:sz w:val="14"/>
              <w:szCs w:val="14"/>
              <w:lang w:val="en-GB"/>
            </w:rPr>
            <w:t xml:space="preserve"> | </w:t>
          </w:r>
          <w:r w:rsidR="00AF31DA">
            <w:rPr>
              <w:color w:val="000000"/>
              <w:sz w:val="14"/>
              <w:szCs w:val="14"/>
              <w:lang w:val="en-GB"/>
            </w:rPr>
            <w:fldChar w:fldCharType="begin"/>
          </w:r>
          <w:r w:rsidR="00AF31DA">
            <w:rPr>
              <w:color w:val="000000"/>
              <w:sz w:val="14"/>
              <w:szCs w:val="14"/>
              <w:lang w:val="en-GB"/>
            </w:rPr>
            <w:instrText>PAGE</w:instrText>
          </w:r>
          <w:r w:rsidR="00AF31DA">
            <w:rPr>
              <w:color w:val="000000"/>
              <w:sz w:val="14"/>
              <w:szCs w:val="14"/>
              <w:lang w:val="en-GB"/>
            </w:rPr>
            <w:fldChar w:fldCharType="separate"/>
          </w:r>
          <w:r w:rsidR="00267777">
            <w:rPr>
              <w:noProof/>
              <w:color w:val="000000"/>
              <w:sz w:val="14"/>
              <w:szCs w:val="14"/>
              <w:lang w:val="en-GB"/>
            </w:rPr>
            <w:t>4</w:t>
          </w:r>
          <w:r w:rsidR="00AF31DA">
            <w:rPr>
              <w:color w:val="000000"/>
              <w:sz w:val="14"/>
              <w:szCs w:val="14"/>
              <w:lang w:val="en-GB"/>
            </w:rPr>
            <w:fldChar w:fldCharType="end"/>
          </w:r>
        </w:p>
      </w:tc>
    </w:tr>
  </w:tbl>
  <w:p w14:paraId="2180E494" w14:textId="77777777" w:rsidR="00792C30" w:rsidRDefault="00792C30">
    <w:pPr>
      <w:pBdr>
        <w:top w:val="nil"/>
        <w:left w:val="nil"/>
        <w:bottom w:val="nil"/>
        <w:right w:val="nil"/>
        <w:between w:val="nil"/>
      </w:pBdr>
      <w:tabs>
        <w:tab w:val="center" w:pos="4536"/>
        <w:tab w:val="right" w:pos="9072"/>
      </w:tabs>
      <w:spacing w:after="0"/>
      <w:jc w:val="right"/>
      <w:rPr>
        <w:color w:val="0000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7BC56" w14:textId="77777777" w:rsidR="00792C30" w:rsidRDefault="00792C30">
    <w:pPr>
      <w:widowControl w:val="0"/>
      <w:pBdr>
        <w:top w:val="nil"/>
        <w:left w:val="nil"/>
        <w:bottom w:val="nil"/>
        <w:right w:val="nil"/>
        <w:between w:val="nil"/>
      </w:pBdr>
      <w:spacing w:after="0"/>
      <w:rPr>
        <w:color w:val="000000"/>
        <w:sz w:val="14"/>
        <w:szCs w:val="14"/>
      </w:rPr>
    </w:pPr>
  </w:p>
  <w:tbl>
    <w:tblPr>
      <w:tblStyle w:val="a1"/>
      <w:tblW w:w="9781" w:type="dxa"/>
      <w:tblInd w:w="-3" w:type="dxa"/>
      <w:tblBorders>
        <w:top w:val="single" w:sz="4" w:space="0" w:color="FFFFFF"/>
        <w:left w:val="single" w:sz="4" w:space="0" w:color="FFFFFF"/>
        <w:bottom w:val="single" w:sz="4" w:space="0" w:color="FFFFFF"/>
        <w:right w:val="single" w:sz="4" w:space="0" w:color="FFFFFF"/>
        <w:insideH w:val="nil"/>
        <w:insideV w:val="single" w:sz="4" w:space="0" w:color="FFFFFF"/>
      </w:tblBorders>
      <w:tblLayout w:type="fixed"/>
      <w:tblLook w:val="0400" w:firstRow="0" w:lastRow="0" w:firstColumn="0" w:lastColumn="0" w:noHBand="0" w:noVBand="1"/>
    </w:tblPr>
    <w:tblGrid>
      <w:gridCol w:w="2552"/>
      <w:gridCol w:w="4536"/>
      <w:gridCol w:w="2693"/>
    </w:tblGrid>
    <w:tr w:rsidR="00792C30" w14:paraId="306084E2" w14:textId="77777777">
      <w:trPr>
        <w:trHeight w:val="620"/>
      </w:trPr>
      <w:tc>
        <w:tcPr>
          <w:tcW w:w="2552" w:type="dxa"/>
        </w:tcPr>
        <w:p w14:paraId="7651106C" w14:textId="77777777" w:rsidR="00792C30" w:rsidRDefault="00792C30">
          <w:pPr>
            <w:pBdr>
              <w:top w:val="nil"/>
              <w:left w:val="nil"/>
              <w:bottom w:val="nil"/>
              <w:right w:val="nil"/>
              <w:between w:val="nil"/>
            </w:pBdr>
            <w:spacing w:line="288" w:lineRule="auto"/>
            <w:rPr>
              <w:color w:val="000000"/>
            </w:rPr>
          </w:pPr>
        </w:p>
      </w:tc>
      <w:tc>
        <w:tcPr>
          <w:tcW w:w="4536" w:type="dxa"/>
        </w:tcPr>
        <w:p w14:paraId="1EEFEFA1" w14:textId="77777777" w:rsidR="00792C30" w:rsidRDefault="00792C30">
          <w:pPr>
            <w:pBdr>
              <w:top w:val="nil"/>
              <w:left w:val="nil"/>
              <w:bottom w:val="nil"/>
              <w:right w:val="nil"/>
              <w:between w:val="nil"/>
            </w:pBdr>
            <w:spacing w:line="288" w:lineRule="auto"/>
            <w:rPr>
              <w:color w:val="000000"/>
            </w:rPr>
          </w:pPr>
        </w:p>
      </w:tc>
      <w:tc>
        <w:tcPr>
          <w:tcW w:w="2693" w:type="dxa"/>
        </w:tcPr>
        <w:p w14:paraId="75C8B8A5" w14:textId="77777777" w:rsidR="00792C30" w:rsidRDefault="00792C30">
          <w:pPr>
            <w:pBdr>
              <w:top w:val="nil"/>
              <w:left w:val="nil"/>
              <w:bottom w:val="nil"/>
              <w:right w:val="nil"/>
              <w:between w:val="nil"/>
            </w:pBdr>
            <w:spacing w:line="288" w:lineRule="auto"/>
            <w:rPr>
              <w:color w:val="000000"/>
            </w:rPr>
          </w:pPr>
        </w:p>
      </w:tc>
    </w:tr>
  </w:tbl>
  <w:p w14:paraId="01D69E28" w14:textId="77777777" w:rsidR="00792C30" w:rsidRDefault="00792C30">
    <w:pPr>
      <w:pBdr>
        <w:top w:val="nil"/>
        <w:left w:val="nil"/>
        <w:bottom w:val="nil"/>
        <w:right w:val="nil"/>
        <w:between w:val="nil"/>
      </w:pBdr>
      <w:tabs>
        <w:tab w:val="center" w:pos="4536"/>
        <w:tab w:val="right" w:pos="9072"/>
      </w:tabs>
      <w:spacing w:after="0"/>
      <w:jc w:val="right"/>
      <w:rPr>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2A7DA" w14:textId="77777777" w:rsidR="00A86B14" w:rsidRDefault="00A86B14">
      <w:pPr>
        <w:spacing w:after="0" w:line="240" w:lineRule="auto"/>
      </w:pPr>
      <w:r>
        <w:separator/>
      </w:r>
    </w:p>
  </w:footnote>
  <w:footnote w:type="continuationSeparator" w:id="0">
    <w:p w14:paraId="2F9C4F31" w14:textId="77777777" w:rsidR="00A86B14" w:rsidRDefault="00A86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52D60" w14:textId="77777777" w:rsidR="00792C30" w:rsidRDefault="00792C30">
    <w:pPr>
      <w:pBdr>
        <w:top w:val="nil"/>
        <w:left w:val="nil"/>
        <w:bottom w:val="nil"/>
        <w:right w:val="nil"/>
        <w:between w:val="nil"/>
      </w:pBdr>
      <w:tabs>
        <w:tab w:val="center" w:pos="4536"/>
        <w:tab w:val="right" w:pos="9072"/>
      </w:tabs>
      <w:spacing w:line="240" w:lineRule="auto"/>
      <w:rPr>
        <w:color w:val="000000"/>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94D74" w14:textId="77777777" w:rsidR="00792C30" w:rsidRDefault="00AF31DA">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rPr>
      <w:drawing>
        <wp:inline distT="0" distB="0" distL="0" distR="0" wp14:anchorId="1EBDF2F8" wp14:editId="781EDC3F">
          <wp:extent cx="2523600" cy="2160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3600" cy="2160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104A0" w14:textId="77777777" w:rsidR="00792C30" w:rsidRDefault="00AF31DA">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rPr>
      <w:drawing>
        <wp:inline distT="0" distB="0" distL="0" distR="0" wp14:anchorId="52F45A04" wp14:editId="032E327C">
          <wp:extent cx="2524721" cy="2160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4721" cy="216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603CE8"/>
    <w:multiLevelType w:val="multilevel"/>
    <w:tmpl w:val="7F0680B2"/>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7a88fc47-5a7e-49b9-953a-5e8b21e5637e}"/>
  </w:docVars>
  <w:rsids>
    <w:rsidRoot w:val="00792C30"/>
    <w:rsid w:val="001E4BEC"/>
    <w:rsid w:val="00267777"/>
    <w:rsid w:val="002D5E8B"/>
    <w:rsid w:val="00315876"/>
    <w:rsid w:val="003168AF"/>
    <w:rsid w:val="00364D08"/>
    <w:rsid w:val="003919D2"/>
    <w:rsid w:val="006A56F0"/>
    <w:rsid w:val="006D6B9B"/>
    <w:rsid w:val="00767D7C"/>
    <w:rsid w:val="00792C30"/>
    <w:rsid w:val="007D22EA"/>
    <w:rsid w:val="007D7F84"/>
    <w:rsid w:val="00894E1D"/>
    <w:rsid w:val="009C6CED"/>
    <w:rsid w:val="009F1B34"/>
    <w:rsid w:val="00A8585D"/>
    <w:rsid w:val="00A85DB1"/>
    <w:rsid w:val="00A86B14"/>
    <w:rsid w:val="00AF31DA"/>
    <w:rsid w:val="00AF4407"/>
    <w:rsid w:val="00BC2E73"/>
    <w:rsid w:val="00C92D03"/>
    <w:rsid w:val="00CC1BF1"/>
    <w:rsid w:val="00CF5167"/>
    <w:rsid w:val="00D813A6"/>
    <w:rsid w:val="00D84763"/>
    <w:rsid w:val="00EE05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F2619"/>
  <w15:docId w15:val="{0C385E7B-A42A-4236-A3BA-DF8F8B52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de-DE"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line="240" w:lineRule="auto"/>
      <w:outlineLvl w:val="0"/>
    </w:pPr>
    <w:rPr>
      <w:b/>
      <w:color w:val="002355"/>
      <w:sz w:val="40"/>
      <w:szCs w:val="40"/>
    </w:rPr>
  </w:style>
  <w:style w:type="paragraph" w:styleId="berschrift2">
    <w:name w:val="heading 2"/>
    <w:basedOn w:val="Standard"/>
    <w:next w:val="Standard"/>
    <w:pPr>
      <w:keepNext/>
      <w:keepLines/>
      <w:spacing w:after="0"/>
      <w:outlineLvl w:val="1"/>
    </w:pPr>
    <w:rPr>
      <w:b/>
      <w:color w:val="002355"/>
      <w:sz w:val="28"/>
      <w:szCs w:val="28"/>
    </w:rPr>
  </w:style>
  <w:style w:type="paragraph" w:styleId="berschrift3">
    <w:name w:val="heading 3"/>
    <w:basedOn w:val="Standard"/>
    <w:next w:val="Standard"/>
    <w:uiPriority w:val="9"/>
    <w:qFormat/>
    <w:pPr>
      <w:keepNext/>
      <w:keepLines/>
      <w:spacing w:after="0"/>
      <w:outlineLvl w:val="2"/>
    </w:pPr>
    <w:rPr>
      <w:b/>
      <w:color w:val="002355"/>
    </w:rPr>
  </w:style>
  <w:style w:type="paragraph" w:styleId="berschrift4">
    <w:name w:val="heading 4"/>
    <w:basedOn w:val="Standard"/>
    <w:next w:val="Standard"/>
    <w:uiPriority w:val="9"/>
    <w:qFormat/>
    <w:pPr>
      <w:keepNext/>
      <w:keepLines/>
      <w:spacing w:after="0"/>
      <w:outlineLvl w:val="3"/>
    </w:pPr>
    <w:rPr>
      <w:b/>
      <w:color w:val="000000"/>
    </w:rPr>
  </w:style>
  <w:style w:type="paragraph" w:styleId="berschrift5">
    <w:name w:val="heading 5"/>
    <w:basedOn w:val="Standard"/>
    <w:next w:val="Standard"/>
    <w:pPr>
      <w:keepNext/>
      <w:keepLines/>
      <w:spacing w:after="0"/>
      <w:outlineLvl w:val="4"/>
    </w:pPr>
    <w:rPr>
      <w:b/>
      <w:color w:val="000000"/>
    </w:rPr>
  </w:style>
  <w:style w:type="paragraph" w:styleId="berschrift6">
    <w:name w:val="heading 6"/>
    <w:basedOn w:val="Standard"/>
    <w:next w:val="Standard"/>
    <w:pPr>
      <w:keepNext/>
      <w:keepLines/>
      <w:spacing w:after="0"/>
      <w:outlineLvl w:val="5"/>
    </w:pPr>
    <w:rPr>
      <w:b/>
      <w:color w:val="00112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tabs>
        <w:tab w:val="left" w:pos="850"/>
      </w:tabs>
      <w:spacing w:before="840" w:after="600" w:line="240" w:lineRule="auto"/>
    </w:pPr>
    <w:rPr>
      <w:b/>
      <w:color w:val="002355"/>
      <w:sz w:val="60"/>
      <w:szCs w:val="60"/>
    </w:rPr>
  </w:style>
  <w:style w:type="table" w:customStyle="1" w:styleId="TableNormal0">
    <w:name w:val="Table Normal"/>
    <w:tblPr>
      <w:tblCellMar>
        <w:top w:w="0" w:type="dxa"/>
        <w:left w:w="0" w:type="dxa"/>
        <w:bottom w:w="0" w:type="dxa"/>
        <w:right w:w="0" w:type="dxa"/>
      </w:tblCellMar>
    </w:tblPr>
  </w:style>
  <w:style w:type="paragraph" w:styleId="Untertitel">
    <w:name w:val="Subtitle"/>
    <w:basedOn w:val="Standard"/>
    <w:next w:val="Standard"/>
    <w:pPr>
      <w:spacing w:line="240" w:lineRule="auto"/>
    </w:pPr>
    <w:rPr>
      <w:color w:val="002355"/>
      <w:sz w:val="28"/>
      <w:szCs w:val="28"/>
    </w:rPr>
  </w:style>
  <w:style w:type="table" w:customStyle="1" w:styleId="a">
    <w:basedOn w:val="TableNormal0"/>
    <w:pPr>
      <w:spacing w:after="0" w:line="240" w:lineRule="auto"/>
    </w:pPr>
    <w:rPr>
      <w:sz w:val="17"/>
      <w:szCs w:val="17"/>
    </w:rPr>
    <w:tblPr>
      <w:tblStyleRowBandSize w:val="1"/>
      <w:tblStyleColBandSize w:val="1"/>
      <w:tblCellMar>
        <w:top w:w="57" w:type="dxa"/>
        <w:bottom w:w="28" w:type="dxa"/>
      </w:tblCellMar>
    </w:tblPr>
  </w:style>
  <w:style w:type="table" w:customStyle="1" w:styleId="a0">
    <w:basedOn w:val="TableNormal0"/>
    <w:pPr>
      <w:spacing w:after="0" w:line="240" w:lineRule="auto"/>
    </w:pPr>
    <w:rPr>
      <w:sz w:val="17"/>
      <w:szCs w:val="17"/>
    </w:rPr>
    <w:tblPr>
      <w:tblStyleRowBandSize w:val="1"/>
      <w:tblStyleColBandSize w:val="1"/>
      <w:tblCellMar>
        <w:top w:w="57" w:type="dxa"/>
        <w:bottom w:w="28" w:type="dxa"/>
      </w:tblCellMar>
    </w:tblPr>
  </w:style>
  <w:style w:type="paragraph" w:styleId="Listenabsatz">
    <w:name w:val="List Paragraph"/>
    <w:basedOn w:val="Standard"/>
    <w:uiPriority w:val="34"/>
    <w:qFormat/>
    <w:rsid w:val="00E96DC8"/>
    <w:pPr>
      <w:ind w:left="720"/>
      <w:contextualSpacing/>
    </w:pPr>
  </w:style>
  <w:style w:type="paragraph" w:customStyle="1" w:styleId="anhangflietext">
    <w:name w:val="anhang fließtext"/>
    <w:basedOn w:val="Standard"/>
    <w:uiPriority w:val="99"/>
    <w:rsid w:val="00902DAD"/>
    <w:pPr>
      <w:autoSpaceDE w:val="0"/>
      <w:autoSpaceDN w:val="0"/>
      <w:adjustRightInd w:val="0"/>
      <w:spacing w:after="0" w:line="280" w:lineRule="atLeast"/>
      <w:textAlignment w:val="center"/>
    </w:pPr>
    <w:rPr>
      <w:rFonts w:ascii="Koenig&amp;Bauer T Light" w:eastAsiaTheme="minorEastAsia" w:hAnsi="Koenig&amp;Bauer T Light" w:cs="Koenig&amp;Bauer T Light"/>
      <w:color w:val="000000"/>
      <w:sz w:val="17"/>
      <w:szCs w:val="17"/>
      <w:lang w:eastAsia="zh-CN"/>
    </w:rPr>
  </w:style>
  <w:style w:type="character" w:customStyle="1" w:styleId="FlietextLagebericht">
    <w:name w:val="Fließtext (Lagebericht)"/>
    <w:uiPriority w:val="99"/>
    <w:rsid w:val="00902DAD"/>
    <w:rPr>
      <w:rFonts w:ascii="Koenig&amp;Bauer T Light" w:hAnsi="Koenig&amp;Bauer T Light" w:cs="Koenig&amp;Bauer T Light"/>
      <w:color w:val="000000"/>
      <w:spacing w:val="0"/>
      <w:sz w:val="17"/>
      <w:szCs w:val="17"/>
      <w:vertAlign w:val="baseline"/>
      <w:lang w:val="de-DE"/>
    </w:rPr>
  </w:style>
  <w:style w:type="character" w:styleId="Hyperlink">
    <w:name w:val="Hyperlink"/>
    <w:basedOn w:val="Absatz-Standardschriftart"/>
    <w:uiPriority w:val="99"/>
    <w:unhideWhenUsed/>
    <w:rsid w:val="007B10D0"/>
    <w:rPr>
      <w:color w:val="0000FF" w:themeColor="hyperlink"/>
      <w:u w:val="single"/>
    </w:rPr>
  </w:style>
  <w:style w:type="paragraph" w:styleId="Sprechblasentext">
    <w:name w:val="Balloon Text"/>
    <w:basedOn w:val="Standard"/>
    <w:link w:val="SprechblasentextZchn"/>
    <w:uiPriority w:val="99"/>
    <w:semiHidden/>
    <w:unhideWhenUsed/>
    <w:rsid w:val="00D318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318A2"/>
    <w:rPr>
      <w:rFonts w:ascii="Segoe UI" w:hAnsi="Segoe UI" w:cs="Segoe UI"/>
      <w:sz w:val="18"/>
      <w:szCs w:val="18"/>
    </w:rPr>
  </w:style>
  <w:style w:type="paragraph" w:styleId="berarbeitung">
    <w:name w:val="Revision"/>
    <w:hidden/>
    <w:uiPriority w:val="99"/>
    <w:semiHidden/>
    <w:rsid w:val="005C2361"/>
    <w:pPr>
      <w:spacing w:after="0" w:line="240" w:lineRule="auto"/>
    </w:pPr>
  </w:style>
  <w:style w:type="character" w:styleId="Kommentarzeichen">
    <w:name w:val="annotation reference"/>
    <w:basedOn w:val="Absatz-Standardschriftart"/>
    <w:uiPriority w:val="99"/>
    <w:semiHidden/>
    <w:unhideWhenUsed/>
    <w:rsid w:val="00EF7CA7"/>
    <w:rPr>
      <w:sz w:val="16"/>
      <w:szCs w:val="16"/>
    </w:rPr>
  </w:style>
  <w:style w:type="paragraph" w:styleId="Kommentartext">
    <w:name w:val="annotation text"/>
    <w:basedOn w:val="Standard"/>
    <w:link w:val="KommentartextZchn"/>
    <w:uiPriority w:val="99"/>
    <w:semiHidden/>
    <w:unhideWhenUsed/>
    <w:rsid w:val="00EF7CA7"/>
    <w:pPr>
      <w:spacing w:line="240" w:lineRule="auto"/>
    </w:pPr>
  </w:style>
  <w:style w:type="character" w:customStyle="1" w:styleId="KommentartextZchn">
    <w:name w:val="Kommentartext Zchn"/>
    <w:basedOn w:val="Absatz-Standardschriftart"/>
    <w:link w:val="Kommentartext"/>
    <w:uiPriority w:val="99"/>
    <w:semiHidden/>
    <w:rsid w:val="00EF7CA7"/>
  </w:style>
  <w:style w:type="paragraph" w:styleId="Kommentarthema">
    <w:name w:val="annotation subject"/>
    <w:basedOn w:val="Kommentartext"/>
    <w:next w:val="Kommentartext"/>
    <w:link w:val="KommentarthemaZchn"/>
    <w:uiPriority w:val="99"/>
    <w:semiHidden/>
    <w:unhideWhenUsed/>
    <w:rsid w:val="00EF7CA7"/>
    <w:rPr>
      <w:b/>
      <w:bCs/>
    </w:rPr>
  </w:style>
  <w:style w:type="character" w:customStyle="1" w:styleId="KommentarthemaZchn">
    <w:name w:val="Kommentarthema Zchn"/>
    <w:basedOn w:val="KommentartextZchn"/>
    <w:link w:val="Kommentarthema"/>
    <w:uiPriority w:val="99"/>
    <w:semiHidden/>
    <w:rsid w:val="00EF7CA7"/>
    <w:rPr>
      <w:b/>
      <w:bCs/>
    </w:rPr>
  </w:style>
  <w:style w:type="character" w:styleId="Fett">
    <w:name w:val="Strong"/>
    <w:basedOn w:val="Absatz-Standardschriftart"/>
    <w:uiPriority w:val="22"/>
    <w:qFormat/>
    <w:rsid w:val="00242268"/>
    <w:rPr>
      <w:b/>
      <w:bCs/>
    </w:rPr>
  </w:style>
  <w:style w:type="paragraph" w:customStyle="1" w:styleId="Default">
    <w:name w:val="Default"/>
    <w:rsid w:val="00242268"/>
    <w:pPr>
      <w:autoSpaceDE w:val="0"/>
      <w:autoSpaceDN w:val="0"/>
      <w:adjustRightInd w:val="0"/>
      <w:spacing w:after="0" w:line="240" w:lineRule="auto"/>
    </w:pPr>
    <w:rPr>
      <w:color w:val="000000"/>
      <w:sz w:val="24"/>
      <w:szCs w:val="24"/>
    </w:rPr>
  </w:style>
  <w:style w:type="character" w:customStyle="1" w:styleId="NichtaufgelsteErwhnung1">
    <w:name w:val="Nicht aufgelöste Erwähnung1"/>
    <w:basedOn w:val="Absatz-Standardschriftart"/>
    <w:uiPriority w:val="99"/>
    <w:semiHidden/>
    <w:unhideWhenUsed/>
    <w:rsid w:val="00BC64F3"/>
    <w:rPr>
      <w:color w:val="605E5C"/>
      <w:shd w:val="clear" w:color="auto" w:fill="E1DFDD"/>
    </w:rPr>
  </w:style>
  <w:style w:type="character" w:styleId="BesuchterLink">
    <w:name w:val="FollowedHyperlink"/>
    <w:basedOn w:val="Absatz-Standardschriftart"/>
    <w:uiPriority w:val="99"/>
    <w:semiHidden/>
    <w:unhideWhenUsed/>
    <w:rsid w:val="00C77FDC"/>
    <w:rPr>
      <w:color w:val="800080" w:themeColor="followedHyperlink"/>
      <w:u w:val="single"/>
    </w:rPr>
  </w:style>
  <w:style w:type="character" w:customStyle="1" w:styleId="ui-provider">
    <w:name w:val="ui-provider"/>
    <w:basedOn w:val="Absatz-Standardschriftart"/>
    <w:rsid w:val="00D17ACD"/>
  </w:style>
  <w:style w:type="paragraph" w:styleId="Kopfzeile">
    <w:name w:val="header"/>
    <w:basedOn w:val="Standard"/>
    <w:link w:val="KopfzeileZchn"/>
    <w:uiPriority w:val="99"/>
    <w:semiHidden/>
    <w:unhideWhenUsed/>
    <w:rsid w:val="00B00F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00FA5"/>
  </w:style>
  <w:style w:type="paragraph" w:styleId="Fuzeile">
    <w:name w:val="footer"/>
    <w:basedOn w:val="Standard"/>
    <w:link w:val="FuzeileZchn"/>
    <w:uiPriority w:val="99"/>
    <w:semiHidden/>
    <w:unhideWhenUsed/>
    <w:rsid w:val="00B00FA5"/>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B00FA5"/>
  </w:style>
  <w:style w:type="table" w:customStyle="1" w:styleId="a1">
    <w:basedOn w:val="TableNormal0"/>
    <w:tblPr>
      <w:tblStyleRowBandSize w:val="1"/>
      <w:tblStyleColBandSize w:val="1"/>
      <w:tblCellMar>
        <w:top w:w="57" w:type="dxa"/>
        <w:bottom w:w="28" w:type="dxa"/>
      </w:tblCellMar>
    </w:tblPr>
  </w:style>
  <w:style w:type="table" w:customStyle="1" w:styleId="a2">
    <w:basedOn w:val="TableNormal0"/>
    <w:tblPr>
      <w:tblStyleRowBandSize w:val="1"/>
      <w:tblStyleColBandSize w:val="1"/>
      <w:tblCellMar>
        <w:top w:w="57" w:type="dxa"/>
        <w:bottom w:w="28" w:type="dxa"/>
      </w:tblCellMar>
    </w:tblPr>
  </w:style>
  <w:style w:type="table" w:styleId="Tabellenraster">
    <w:name w:val="Table Grid"/>
    <w:basedOn w:val="NormaleTabelle"/>
    <w:uiPriority w:val="39"/>
    <w:rsid w:val="006D6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ena.landenberger@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FXM2s/9VAc/nu4BkA+4amIvlIqw==">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1627</Words>
  <Characters>10253</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KOENIG &amp; BAUER AG</Company>
  <LinksUpToDate>false</LinksUpToDate>
  <CharactersWithSpaces>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Landenberger, Lena (ZFI)</dc:creator>
  <cp:lastModifiedBy>Rügamer, René (ZFI)</cp:lastModifiedBy>
  <cp:revision>7</cp:revision>
  <dcterms:created xsi:type="dcterms:W3CDTF">2024-02-28T17:14:00Z</dcterms:created>
  <dcterms:modified xsi:type="dcterms:W3CDTF">2024-02-29T08:24:00Z</dcterms:modified>
</cp:coreProperties>
</file>