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6C3BC9" w:rsidP="00A2737E">
      <w:pPr>
        <w:pStyle w:val="berschrift1"/>
        <w:spacing w:after="240"/>
      </w:pPr>
      <w:r w:rsidRPr="006C3BC9">
        <w:t>Neue Commander CL für die Schweiz</w:t>
      </w:r>
    </w:p>
    <w:p w:rsidR="00BC4F56" w:rsidRDefault="006C3BC9" w:rsidP="00BC4F56">
      <w:pPr>
        <w:pStyle w:val="Untertitel"/>
        <w:spacing w:after="240"/>
      </w:pPr>
      <w:proofErr w:type="spellStart"/>
      <w:r w:rsidRPr="006C3BC9">
        <w:t>Somedia</w:t>
      </w:r>
      <w:proofErr w:type="spellEnd"/>
      <w:r w:rsidRPr="006C3BC9">
        <w:t xml:space="preserve"> Partner AG entscheidet sich für Zeitungsrotation von Koenig &amp; Bauer</w:t>
      </w:r>
    </w:p>
    <w:p w:rsidR="00040486" w:rsidRPr="00040486" w:rsidRDefault="00040486" w:rsidP="00040486">
      <w:pPr>
        <w:spacing w:after="240"/>
      </w:pPr>
    </w:p>
    <w:p w:rsidR="00747E9E" w:rsidRDefault="00747E9E" w:rsidP="00747E9E">
      <w:pPr>
        <w:pStyle w:val="Aufzhlung"/>
        <w:spacing w:after="240"/>
      </w:pPr>
      <w:proofErr w:type="spellStart"/>
      <w:r>
        <w:t>Somedia</w:t>
      </w:r>
      <w:proofErr w:type="spellEnd"/>
      <w:r>
        <w:t xml:space="preserve"> Partner AG setzt auf Print</w:t>
      </w:r>
    </w:p>
    <w:p w:rsidR="00747E9E" w:rsidRDefault="00747E9E" w:rsidP="00747E9E">
      <w:pPr>
        <w:pStyle w:val="Aufzhlung"/>
        <w:spacing w:after="240"/>
      </w:pPr>
      <w:r>
        <w:t>Führender Anbieter in der höchsten Leistungsklasse</w:t>
      </w:r>
    </w:p>
    <w:p w:rsidR="00747E9E" w:rsidRDefault="00747E9E" w:rsidP="00747E9E">
      <w:pPr>
        <w:pStyle w:val="Aufzhlung"/>
        <w:spacing w:after="240"/>
      </w:pPr>
      <w:r>
        <w:t>Commander ersetzt Maschine vom Mitbewerber</w:t>
      </w:r>
    </w:p>
    <w:p w:rsidR="0072267C" w:rsidRDefault="00747E9E" w:rsidP="00747E9E">
      <w:pPr>
        <w:pStyle w:val="Aufzhlung"/>
        <w:spacing w:after="240"/>
      </w:pPr>
      <w:r>
        <w:t>Europäische Zeitungshäuser entscheiden sich für Koenig &amp; Bauer</w:t>
      </w:r>
    </w:p>
    <w:p w:rsidR="00584EAD" w:rsidRPr="00E831B6" w:rsidRDefault="00584EAD" w:rsidP="0072267C">
      <w:pPr>
        <w:pStyle w:val="Aufzhlung"/>
        <w:numPr>
          <w:ilvl w:val="0"/>
          <w:numId w:val="0"/>
        </w:numPr>
        <w:spacing w:after="240"/>
        <w:ind w:left="340"/>
      </w:pPr>
    </w:p>
    <w:p w:rsidR="003C328A" w:rsidRDefault="005A34BB" w:rsidP="00584EAD">
      <w:pPr>
        <w:spacing w:after="240"/>
      </w:pPr>
      <w:r w:rsidRPr="00A42058">
        <w:t>Würzburg</w:t>
      </w:r>
      <w:r w:rsidR="00584EAD" w:rsidRPr="00A42058">
        <w:t xml:space="preserve">, </w:t>
      </w:r>
      <w:r w:rsidR="009212FE">
        <w:t>18.05.</w:t>
      </w:r>
      <w:r w:rsidRPr="00A42058">
        <w:t>20</w:t>
      </w:r>
      <w:r w:rsidR="0072267C">
        <w:t>20</w:t>
      </w:r>
      <w:r w:rsidR="00584EAD" w:rsidRPr="00A42058">
        <w:br/>
      </w:r>
      <w:r w:rsidR="006C3BC9" w:rsidRPr="006C3BC9">
        <w:t xml:space="preserve">Die </w:t>
      </w:r>
      <w:proofErr w:type="spellStart"/>
      <w:r w:rsidR="006C3BC9" w:rsidRPr="006C3BC9">
        <w:t>Somedia</w:t>
      </w:r>
      <w:proofErr w:type="spellEnd"/>
      <w:r w:rsidR="006C3BC9" w:rsidRPr="006C3BC9">
        <w:t xml:space="preserve"> Partner AG aus der Schweiz investiert in eine hoch automatisierte Zeitungsrotation von Koenig &amp; Bauer. Im Sommer des kommenden Jahres wird die Commander CL am Druckstandort in Haag im St. Galler Rheintal eine Maschine von einem Mitbewerber ersetzen und die Produktion aufnehmen.</w:t>
      </w:r>
    </w:p>
    <w:p w:rsidR="006C3BC9" w:rsidRDefault="006C3BC9" w:rsidP="006C3BC9">
      <w:pPr>
        <w:spacing w:after="240"/>
      </w:pPr>
      <w:r>
        <w:t xml:space="preserve">Täglich werden dann mehr als 120.000 Tages- und Wochenzeitungen auf der Anlage gedruckt. Urs </w:t>
      </w:r>
      <w:proofErr w:type="spellStart"/>
      <w:r>
        <w:t>Zieri</w:t>
      </w:r>
      <w:proofErr w:type="spellEnd"/>
      <w:r>
        <w:t xml:space="preserve">, Geschäftsführer der </w:t>
      </w:r>
      <w:proofErr w:type="spellStart"/>
      <w:r>
        <w:t>Somedia</w:t>
      </w:r>
      <w:proofErr w:type="spellEnd"/>
      <w:r>
        <w:t xml:space="preserve"> Partner AG: „Wir wollten und mussten in eine neue Anlage investieren. Die Gespräche mit Koenig &amp; Bauer waren von Beginn an ehrlich und sehr partnerschaftlich. Das Gesamtpaket hat einfach gepasst. Wir sind überzeugt, dass wir die richtige Entscheidung mit Koenig &amp; Bauer getroffen haben.“</w:t>
      </w:r>
    </w:p>
    <w:p w:rsidR="006C3BC9" w:rsidRDefault="006C3BC9" w:rsidP="006C3BC9">
      <w:pPr>
        <w:spacing w:after="240"/>
      </w:pPr>
      <w:r>
        <w:t>Die Commander CL besteht aus drei Achtert</w:t>
      </w:r>
      <w:r w:rsidR="00C82D5F">
        <w:t>ürmen, einem Klappenfalzapparat</w:t>
      </w:r>
      <w:r>
        <w:t xml:space="preserve"> KF 5, einem Lagenheftapparat und drei Rollenwechslern </w:t>
      </w:r>
      <w:proofErr w:type="spellStart"/>
      <w:r>
        <w:t>Pastomat</w:t>
      </w:r>
      <w:proofErr w:type="spellEnd"/>
      <w:r>
        <w:t xml:space="preserve"> mit Auspackstation und Rollenbeschickung Patras A.</w:t>
      </w:r>
    </w:p>
    <w:p w:rsidR="006C3BC9" w:rsidRDefault="006C3BC9" w:rsidP="006C3BC9">
      <w:pPr>
        <w:spacing w:after="240"/>
      </w:pPr>
      <w:r>
        <w:t xml:space="preserve">In den vergangenen Jahren entschieden sich die europäischen Zeitungshäuser häufig für die obere und höchste Leistungsklasse von Koenig &amp; Bauer. „Vor dem Hintergrund der Marktentwicklung freuen wir uns sehr über Unternehmen wie </w:t>
      </w:r>
      <w:proofErr w:type="spellStart"/>
      <w:r>
        <w:t>Somedia</w:t>
      </w:r>
      <w:proofErr w:type="spellEnd"/>
      <w:r>
        <w:t xml:space="preserve"> Partner AG, die an Print glauben und Investitionen tätigen. Auch mit dem Auftragseingang im Bereich Zeitung sind wir sehr zufrieden. Weitere Projekte sind in der Pipeline und werden demnächst entschieden. Aktuell sind bei Neuinvestitionen vor allem flexible, praxisorientierte und automatisierte Anlagen gefragt und da haben wir mit unserem Trio Commander CL, Commander CT und Cortina ein hervorragendes Image“, so Stefan Segger, Vertriebsdirektor bei Koenig &amp; Bauer Digital &amp; </w:t>
      </w:r>
      <w:proofErr w:type="spellStart"/>
      <w:r>
        <w:t>Webfed</w:t>
      </w:r>
      <w:proofErr w:type="spellEnd"/>
      <w:r>
        <w:t>.</w:t>
      </w:r>
    </w:p>
    <w:p w:rsidR="00142C42" w:rsidRDefault="006C3BC9" w:rsidP="00142C42">
      <w:pPr>
        <w:pStyle w:val="berschrift3"/>
      </w:pPr>
      <w:r w:rsidRPr="006C3BC9">
        <w:t>Drei Partner und ein modernes Druckzentrum</w:t>
      </w:r>
    </w:p>
    <w:p w:rsidR="003C328A" w:rsidRPr="000D0935" w:rsidRDefault="006C3BC9" w:rsidP="006C3BC9">
      <w:pPr>
        <w:spacing w:after="240"/>
      </w:pPr>
      <w:r>
        <w:t xml:space="preserve">An der </w:t>
      </w:r>
      <w:proofErr w:type="spellStart"/>
      <w:r>
        <w:t>Somedia</w:t>
      </w:r>
      <w:proofErr w:type="spellEnd"/>
      <w:r>
        <w:t xml:space="preserve"> Partner AG sind drei eigenständige Verlagsunternehmen beteiligt: Die </w:t>
      </w:r>
      <w:proofErr w:type="spellStart"/>
      <w:r>
        <w:t>Somedia</w:t>
      </w:r>
      <w:proofErr w:type="spellEnd"/>
      <w:r>
        <w:t xml:space="preserve"> AG, die </w:t>
      </w:r>
      <w:proofErr w:type="spellStart"/>
      <w:r>
        <w:t>Sarganserländer</w:t>
      </w:r>
      <w:proofErr w:type="spellEnd"/>
      <w:r>
        <w:t xml:space="preserve"> Druck AG und das </w:t>
      </w:r>
      <w:proofErr w:type="spellStart"/>
      <w:r>
        <w:t>Vaduzer</w:t>
      </w:r>
      <w:proofErr w:type="spellEnd"/>
      <w:r>
        <w:t xml:space="preserve"> Medienhaus AG. Das Unternehmen produziert täglich acht Regionalzeitungen, unter anderem die Südostschweiz, den </w:t>
      </w:r>
      <w:proofErr w:type="spellStart"/>
      <w:r>
        <w:t>Sarganserländer</w:t>
      </w:r>
      <w:proofErr w:type="spellEnd"/>
      <w:r>
        <w:t xml:space="preserve"> und das Liechtensteiner Vaterland. Am Wochenende druckt die </w:t>
      </w:r>
      <w:proofErr w:type="spellStart"/>
      <w:r>
        <w:t>Somedia</w:t>
      </w:r>
      <w:proofErr w:type="spellEnd"/>
      <w:r>
        <w:t xml:space="preserve"> Partner AG im Druckzentrum Haag, </w:t>
      </w:r>
      <w:r>
        <w:lastRenderedPageBreak/>
        <w:t xml:space="preserve">mit ihren fast 50 Mitarbeitern, mit der </w:t>
      </w:r>
      <w:proofErr w:type="spellStart"/>
      <w:r>
        <w:t>Liewo</w:t>
      </w:r>
      <w:proofErr w:type="spellEnd"/>
      <w:r>
        <w:t xml:space="preserve"> und der Schweiz am Wochenende noch zwei Wochenendzeitungen.</w:t>
      </w:r>
    </w:p>
    <w:p w:rsidR="006C3BC9" w:rsidRPr="006C3BC9" w:rsidRDefault="006C3BC9" w:rsidP="006C3BC9">
      <w:pPr>
        <w:spacing w:after="240"/>
        <w:rPr>
          <w:rFonts w:asciiTheme="majorHAnsi" w:eastAsiaTheme="majorEastAsia" w:hAnsiTheme="majorHAnsi" w:cstheme="majorBidi"/>
          <w:iCs/>
          <w:color w:val="000000" w:themeColor="text1"/>
        </w:rPr>
      </w:pPr>
      <w:r w:rsidRPr="006C3BC9">
        <w:rPr>
          <w:rFonts w:asciiTheme="majorHAnsi" w:eastAsiaTheme="majorEastAsia" w:hAnsiTheme="majorHAnsi" w:cstheme="majorBidi"/>
          <w:b/>
          <w:iCs/>
          <w:color w:val="000000" w:themeColor="text1"/>
        </w:rPr>
        <w:t>Foto 1:</w:t>
      </w:r>
      <w:r>
        <w:rPr>
          <w:rFonts w:asciiTheme="majorHAnsi" w:eastAsiaTheme="majorEastAsia" w:hAnsiTheme="majorHAnsi" w:cstheme="majorBidi"/>
          <w:b/>
          <w:iCs/>
          <w:color w:val="000000" w:themeColor="text1"/>
        </w:rPr>
        <w:br/>
      </w:r>
      <w:r w:rsidRPr="006C3BC9">
        <w:rPr>
          <w:rFonts w:asciiTheme="majorHAnsi" w:eastAsiaTheme="majorEastAsia" w:hAnsiTheme="majorHAnsi" w:cstheme="majorBidi"/>
          <w:iCs/>
          <w:color w:val="000000" w:themeColor="text1"/>
        </w:rPr>
        <w:t xml:space="preserve">Kurz nach der Vertragsunterzeichnung (hintere Reihe v.l.n.r.): Stefan Segger, Vertriebsdirektor Koenig &amp; Bauer Digital &amp; </w:t>
      </w:r>
      <w:proofErr w:type="spellStart"/>
      <w:r w:rsidRPr="006C3BC9">
        <w:rPr>
          <w:rFonts w:asciiTheme="majorHAnsi" w:eastAsiaTheme="majorEastAsia" w:hAnsiTheme="majorHAnsi" w:cstheme="majorBidi"/>
          <w:iCs/>
          <w:color w:val="000000" w:themeColor="text1"/>
        </w:rPr>
        <w:t>Webfed</w:t>
      </w:r>
      <w:proofErr w:type="spellEnd"/>
      <w:r w:rsidRPr="006C3BC9">
        <w:rPr>
          <w:rFonts w:asciiTheme="majorHAnsi" w:eastAsiaTheme="majorEastAsia" w:hAnsiTheme="majorHAnsi" w:cstheme="majorBidi"/>
          <w:iCs/>
          <w:color w:val="000000" w:themeColor="text1"/>
        </w:rPr>
        <w:t xml:space="preserve">, Urs </w:t>
      </w:r>
      <w:proofErr w:type="spellStart"/>
      <w:r w:rsidRPr="006C3BC9">
        <w:rPr>
          <w:rFonts w:asciiTheme="majorHAnsi" w:eastAsiaTheme="majorEastAsia" w:hAnsiTheme="majorHAnsi" w:cstheme="majorBidi"/>
          <w:iCs/>
          <w:color w:val="000000" w:themeColor="text1"/>
        </w:rPr>
        <w:t>Zieri</w:t>
      </w:r>
      <w:proofErr w:type="spellEnd"/>
      <w:r w:rsidRPr="006C3BC9">
        <w:rPr>
          <w:rFonts w:asciiTheme="majorHAnsi" w:eastAsiaTheme="majorEastAsia" w:hAnsiTheme="majorHAnsi" w:cstheme="majorBidi"/>
          <w:iCs/>
          <w:color w:val="000000" w:themeColor="text1"/>
        </w:rPr>
        <w:t xml:space="preserve">, Geschäftsführer </w:t>
      </w:r>
      <w:proofErr w:type="spellStart"/>
      <w:r w:rsidRPr="006C3BC9">
        <w:rPr>
          <w:rFonts w:asciiTheme="majorHAnsi" w:eastAsiaTheme="majorEastAsia" w:hAnsiTheme="majorHAnsi" w:cstheme="majorBidi"/>
          <w:iCs/>
          <w:color w:val="000000" w:themeColor="text1"/>
        </w:rPr>
        <w:t>Somedia</w:t>
      </w:r>
      <w:proofErr w:type="spellEnd"/>
      <w:r w:rsidRPr="006C3BC9">
        <w:rPr>
          <w:rFonts w:asciiTheme="majorHAnsi" w:eastAsiaTheme="majorEastAsia" w:hAnsiTheme="majorHAnsi" w:cstheme="majorBidi"/>
          <w:iCs/>
          <w:color w:val="000000" w:themeColor="text1"/>
        </w:rPr>
        <w:t xml:space="preserve"> Partner AG, Bruno </w:t>
      </w:r>
      <w:proofErr w:type="spellStart"/>
      <w:r w:rsidRPr="006C3BC9">
        <w:rPr>
          <w:rFonts w:asciiTheme="majorHAnsi" w:eastAsiaTheme="majorEastAsia" w:hAnsiTheme="majorHAnsi" w:cstheme="majorBidi"/>
          <w:iCs/>
          <w:color w:val="000000" w:themeColor="text1"/>
        </w:rPr>
        <w:t>Rothmund</w:t>
      </w:r>
      <w:proofErr w:type="spellEnd"/>
      <w:r w:rsidRPr="006C3BC9">
        <w:rPr>
          <w:rFonts w:asciiTheme="majorHAnsi" w:eastAsiaTheme="majorEastAsia" w:hAnsiTheme="majorHAnsi" w:cstheme="majorBidi"/>
          <w:iCs/>
          <w:color w:val="000000" w:themeColor="text1"/>
        </w:rPr>
        <w:t xml:space="preserve">, Leiter Rotation </w:t>
      </w:r>
      <w:proofErr w:type="spellStart"/>
      <w:r w:rsidRPr="006C3BC9">
        <w:rPr>
          <w:rFonts w:asciiTheme="majorHAnsi" w:eastAsiaTheme="majorEastAsia" w:hAnsiTheme="majorHAnsi" w:cstheme="majorBidi"/>
          <w:iCs/>
          <w:color w:val="000000" w:themeColor="text1"/>
        </w:rPr>
        <w:t>Somedia</w:t>
      </w:r>
      <w:proofErr w:type="spellEnd"/>
      <w:r w:rsidRPr="006C3BC9">
        <w:rPr>
          <w:rFonts w:asciiTheme="majorHAnsi" w:eastAsiaTheme="majorEastAsia" w:hAnsiTheme="majorHAnsi" w:cstheme="majorBidi"/>
          <w:iCs/>
          <w:color w:val="000000" w:themeColor="text1"/>
        </w:rPr>
        <w:t xml:space="preserve"> Partner AG, Peter Rickenmann, Geschäftsführer Koenig &amp; Bauer (CH) AG, (vordere Reihe): Günter Noll, Vertriebsleiter Koenig &amp; Bauer Digital &amp; </w:t>
      </w:r>
      <w:proofErr w:type="spellStart"/>
      <w:r w:rsidRPr="006C3BC9">
        <w:rPr>
          <w:rFonts w:asciiTheme="majorHAnsi" w:eastAsiaTheme="majorEastAsia" w:hAnsiTheme="majorHAnsi" w:cstheme="majorBidi"/>
          <w:iCs/>
          <w:color w:val="000000" w:themeColor="text1"/>
        </w:rPr>
        <w:t>Webfed</w:t>
      </w:r>
      <w:proofErr w:type="spellEnd"/>
      <w:r w:rsidR="00C82D5F">
        <w:rPr>
          <w:rFonts w:asciiTheme="majorHAnsi" w:eastAsiaTheme="majorEastAsia" w:hAnsiTheme="majorHAnsi" w:cstheme="majorBidi"/>
          <w:iCs/>
          <w:color w:val="000000" w:themeColor="text1"/>
        </w:rPr>
        <w:t>,</w:t>
      </w:r>
      <w:bookmarkStart w:id="0" w:name="_GoBack"/>
      <w:bookmarkEnd w:id="0"/>
      <w:r w:rsidRPr="006C3BC9">
        <w:rPr>
          <w:rFonts w:asciiTheme="majorHAnsi" w:eastAsiaTheme="majorEastAsia" w:hAnsiTheme="majorHAnsi" w:cstheme="majorBidi"/>
          <w:iCs/>
          <w:color w:val="000000" w:themeColor="text1"/>
        </w:rPr>
        <w:t xml:space="preserve"> und Paul Frei, Präsident Ve</w:t>
      </w:r>
      <w:r>
        <w:rPr>
          <w:rFonts w:asciiTheme="majorHAnsi" w:eastAsiaTheme="majorEastAsia" w:hAnsiTheme="majorHAnsi" w:cstheme="majorBidi"/>
          <w:iCs/>
          <w:color w:val="000000" w:themeColor="text1"/>
        </w:rPr>
        <w:t xml:space="preserve">rwaltungsrat </w:t>
      </w:r>
      <w:proofErr w:type="spellStart"/>
      <w:r>
        <w:rPr>
          <w:rFonts w:asciiTheme="majorHAnsi" w:eastAsiaTheme="majorEastAsia" w:hAnsiTheme="majorHAnsi" w:cstheme="majorBidi"/>
          <w:iCs/>
          <w:color w:val="000000" w:themeColor="text1"/>
        </w:rPr>
        <w:t>Somedia</w:t>
      </w:r>
      <w:proofErr w:type="spellEnd"/>
      <w:r>
        <w:rPr>
          <w:rFonts w:asciiTheme="majorHAnsi" w:eastAsiaTheme="majorEastAsia" w:hAnsiTheme="majorHAnsi" w:cstheme="majorBidi"/>
          <w:iCs/>
          <w:color w:val="000000" w:themeColor="text1"/>
        </w:rPr>
        <w:t xml:space="preserve"> Partner AG</w:t>
      </w:r>
    </w:p>
    <w:p w:rsidR="00584EAD" w:rsidRPr="006C3BC9" w:rsidRDefault="006C3BC9" w:rsidP="006C3BC9">
      <w:pPr>
        <w:spacing w:after="240"/>
      </w:pPr>
      <w:r w:rsidRPr="006C3BC9">
        <w:rPr>
          <w:rFonts w:asciiTheme="majorHAnsi" w:eastAsiaTheme="majorEastAsia" w:hAnsiTheme="majorHAnsi" w:cstheme="majorBidi"/>
          <w:b/>
          <w:iCs/>
          <w:color w:val="000000" w:themeColor="text1"/>
        </w:rPr>
        <w:t>Foto 2:</w:t>
      </w:r>
      <w:r>
        <w:rPr>
          <w:rFonts w:asciiTheme="majorHAnsi" w:eastAsiaTheme="majorEastAsia" w:hAnsiTheme="majorHAnsi" w:cstheme="majorBidi"/>
          <w:b/>
          <w:iCs/>
          <w:color w:val="000000" w:themeColor="text1"/>
        </w:rPr>
        <w:br/>
      </w:r>
      <w:r w:rsidRPr="006C3BC9">
        <w:rPr>
          <w:rFonts w:asciiTheme="majorHAnsi" w:eastAsiaTheme="majorEastAsia" w:hAnsiTheme="majorHAnsi" w:cstheme="majorBidi"/>
          <w:iCs/>
          <w:color w:val="000000" w:themeColor="text1"/>
        </w:rPr>
        <w:t xml:space="preserve">Im zweiten Quartal 2021 wird die neue Commander CL ihre Produktion bei der </w:t>
      </w:r>
      <w:proofErr w:type="spellStart"/>
      <w:r w:rsidRPr="006C3BC9">
        <w:rPr>
          <w:rFonts w:asciiTheme="majorHAnsi" w:eastAsiaTheme="majorEastAsia" w:hAnsiTheme="majorHAnsi" w:cstheme="majorBidi"/>
          <w:iCs/>
          <w:color w:val="000000" w:themeColor="text1"/>
        </w:rPr>
        <w:t>Somedia</w:t>
      </w:r>
      <w:proofErr w:type="spellEnd"/>
      <w:r w:rsidRPr="006C3BC9">
        <w:rPr>
          <w:rFonts w:asciiTheme="majorHAnsi" w:eastAsiaTheme="majorEastAsia" w:hAnsiTheme="majorHAnsi" w:cstheme="majorBidi"/>
          <w:iCs/>
          <w:color w:val="000000" w:themeColor="text1"/>
        </w:rPr>
        <w:t xml:space="preserve"> Partner AG in Haag aufnehmen</w:t>
      </w:r>
    </w:p>
    <w:p w:rsidR="00EE1968" w:rsidRPr="00FA05FB" w:rsidRDefault="00EE1968" w:rsidP="00584EAD">
      <w:pPr>
        <w:spacing w:after="240"/>
      </w:pPr>
    </w:p>
    <w:p w:rsidR="00584EAD" w:rsidRDefault="00584EAD" w:rsidP="00584EAD">
      <w:pPr>
        <w:spacing w:after="240"/>
      </w:pPr>
      <w:r w:rsidRPr="00BC4F56">
        <w:rPr>
          <w:b/>
        </w:rPr>
        <w:t>Ansprechpartner für die Presse</w:t>
      </w:r>
      <w:r w:rsidR="00F62DEE">
        <w:br/>
        <w:t xml:space="preserve">Koenig &amp; Bauer Digital &amp; </w:t>
      </w:r>
      <w:proofErr w:type="spellStart"/>
      <w:r w:rsidR="00F62DEE">
        <w:t>Webfed</w:t>
      </w:r>
      <w:proofErr w:type="spellEnd"/>
      <w:r w:rsidR="00F62DEE">
        <w:t xml:space="preserve"> AG &amp; Co. KG</w:t>
      </w:r>
      <w:r w:rsidR="00F62DEE">
        <w:br/>
        <w:t>Henning Düber</w:t>
      </w:r>
      <w:r>
        <w:br/>
        <w:t>T +</w:t>
      </w:r>
      <w:r w:rsidR="00F62DEE">
        <w:t>49 931</w:t>
      </w:r>
      <w:r>
        <w:t xml:space="preserve"> </w:t>
      </w:r>
      <w:r w:rsidR="00F62DEE">
        <w:t>909</w:t>
      </w:r>
      <w:r>
        <w:t>-</w:t>
      </w:r>
      <w:r w:rsidR="00F62DEE">
        <w:t>4039</w:t>
      </w:r>
      <w:r>
        <w:br/>
        <w:t xml:space="preserve">M </w:t>
      </w:r>
      <w:hyperlink r:id="rId8" w:history="1">
        <w:r w:rsidR="00DD0545" w:rsidRPr="00E845DD">
          <w:rPr>
            <w:rStyle w:val="Hyperlink"/>
          </w:rPr>
          <w:t>henning.dueber@koenig-bauer.com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142C42">
        <w:t>9</w:t>
      </w:r>
      <w:r w:rsidR="00BC4F56" w:rsidRPr="001B3192">
        <w:t xml:space="preserve"> </w:t>
      </w:r>
      <w:r w:rsidR="008042E3">
        <w:t xml:space="preserve">erwirtschafteten die </w:t>
      </w:r>
      <w:r w:rsidR="00BC4F56" w:rsidRPr="001B3192">
        <w:t>5.</w:t>
      </w:r>
      <w:r w:rsidR="00142C42">
        <w:t>8</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14" w:rsidRDefault="007E0914" w:rsidP="00647A4F">
      <w:pPr>
        <w:spacing w:after="240"/>
      </w:pPr>
      <w:r>
        <w:separator/>
      </w:r>
    </w:p>
    <w:p w:rsidR="007E0914" w:rsidRDefault="007E0914" w:rsidP="00647A4F">
      <w:pPr>
        <w:spacing w:after="240"/>
      </w:pPr>
    </w:p>
  </w:endnote>
  <w:endnote w:type="continuationSeparator" w:id="0">
    <w:p w:rsidR="007E0914" w:rsidRDefault="007E0914" w:rsidP="00647A4F">
      <w:pPr>
        <w:spacing w:after="240"/>
      </w:pPr>
      <w:r>
        <w:continuationSeparator/>
      </w:r>
    </w:p>
    <w:p w:rsidR="007E0914" w:rsidRDefault="007E091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6C3BC9" w:rsidP="00647A4F">
    <w:pPr>
      <w:pStyle w:val="Fuzeile"/>
      <w:spacing w:after="240"/>
    </w:pPr>
    <w:r w:rsidRPr="006C3BC9">
      <w:t>Neue Commander CL für die Schweiz</w:t>
    </w:r>
    <w:r>
      <w:t xml:space="preserve"> </w:t>
    </w:r>
    <w:r w:rsidR="00002FD9">
      <w:t>|</w:t>
    </w:r>
    <w:r w:rsidR="00673988">
      <w:t xml:space="preserve"> </w:t>
    </w:r>
    <w:r w:rsidR="00432594">
      <w:fldChar w:fldCharType="begin"/>
    </w:r>
    <w:r w:rsidR="00673988">
      <w:instrText xml:space="preserve"> PAGE </w:instrText>
    </w:r>
    <w:r w:rsidR="00432594">
      <w:fldChar w:fldCharType="separate"/>
    </w:r>
    <w:r w:rsidR="00C82D5F">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C82D5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33A65">
          <w:t>Dritte RotaJET für Dekordrucker</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14" w:rsidRDefault="007E0914" w:rsidP="00647A4F">
      <w:pPr>
        <w:spacing w:after="240"/>
      </w:pPr>
      <w:r>
        <w:separator/>
      </w:r>
    </w:p>
  </w:footnote>
  <w:footnote w:type="continuationSeparator" w:id="0">
    <w:p w:rsidR="007E0914" w:rsidRDefault="007E0914" w:rsidP="00647A4F">
      <w:pPr>
        <w:spacing w:after="240"/>
      </w:pPr>
      <w:r>
        <w:continuationSeparator/>
      </w:r>
    </w:p>
    <w:p w:rsidR="007E0914" w:rsidRDefault="007E091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4F76"/>
    <w:rsid w:val="00040486"/>
    <w:rsid w:val="0004553C"/>
    <w:rsid w:val="00051F1D"/>
    <w:rsid w:val="00056DB6"/>
    <w:rsid w:val="000706A2"/>
    <w:rsid w:val="000A14F7"/>
    <w:rsid w:val="000A70ED"/>
    <w:rsid w:val="000A7CE1"/>
    <w:rsid w:val="000B7CEC"/>
    <w:rsid w:val="000C511A"/>
    <w:rsid w:val="000C534C"/>
    <w:rsid w:val="000D0935"/>
    <w:rsid w:val="000E431A"/>
    <w:rsid w:val="00102040"/>
    <w:rsid w:val="00116A26"/>
    <w:rsid w:val="00133BCF"/>
    <w:rsid w:val="00142C42"/>
    <w:rsid w:val="00163241"/>
    <w:rsid w:val="0016411F"/>
    <w:rsid w:val="0016774E"/>
    <w:rsid w:val="001B5BAA"/>
    <w:rsid w:val="001B747C"/>
    <w:rsid w:val="001C35B0"/>
    <w:rsid w:val="001C394D"/>
    <w:rsid w:val="001E5ABB"/>
    <w:rsid w:val="00200A8E"/>
    <w:rsid w:val="00204EAE"/>
    <w:rsid w:val="0021638F"/>
    <w:rsid w:val="0022027F"/>
    <w:rsid w:val="00240BB9"/>
    <w:rsid w:val="00260F83"/>
    <w:rsid w:val="00265400"/>
    <w:rsid w:val="0027081D"/>
    <w:rsid w:val="00282128"/>
    <w:rsid w:val="002A078E"/>
    <w:rsid w:val="002A5D4F"/>
    <w:rsid w:val="002B77B3"/>
    <w:rsid w:val="002C05E4"/>
    <w:rsid w:val="002E1AB6"/>
    <w:rsid w:val="002E3557"/>
    <w:rsid w:val="00344611"/>
    <w:rsid w:val="0034660F"/>
    <w:rsid w:val="00356744"/>
    <w:rsid w:val="00382047"/>
    <w:rsid w:val="003963F6"/>
    <w:rsid w:val="003A0BCE"/>
    <w:rsid w:val="003B423A"/>
    <w:rsid w:val="003B7A63"/>
    <w:rsid w:val="003C328A"/>
    <w:rsid w:val="003D1D5D"/>
    <w:rsid w:val="00413B84"/>
    <w:rsid w:val="0041506E"/>
    <w:rsid w:val="004158D7"/>
    <w:rsid w:val="004227B2"/>
    <w:rsid w:val="00432025"/>
    <w:rsid w:val="00432594"/>
    <w:rsid w:val="004461AB"/>
    <w:rsid w:val="00451F82"/>
    <w:rsid w:val="00453792"/>
    <w:rsid w:val="004628E4"/>
    <w:rsid w:val="00466CEC"/>
    <w:rsid w:val="004676E1"/>
    <w:rsid w:val="00470F72"/>
    <w:rsid w:val="004A08EC"/>
    <w:rsid w:val="004B1583"/>
    <w:rsid w:val="004B210E"/>
    <w:rsid w:val="004C2F41"/>
    <w:rsid w:val="004D1221"/>
    <w:rsid w:val="004E33CC"/>
    <w:rsid w:val="004E6239"/>
    <w:rsid w:val="00522321"/>
    <w:rsid w:val="00524C68"/>
    <w:rsid w:val="00533745"/>
    <w:rsid w:val="0055123F"/>
    <w:rsid w:val="00563C4E"/>
    <w:rsid w:val="00566F97"/>
    <w:rsid w:val="0057450D"/>
    <w:rsid w:val="00584EAD"/>
    <w:rsid w:val="005865F5"/>
    <w:rsid w:val="005943F7"/>
    <w:rsid w:val="00597089"/>
    <w:rsid w:val="005A1925"/>
    <w:rsid w:val="005A281B"/>
    <w:rsid w:val="005A34BB"/>
    <w:rsid w:val="005A6286"/>
    <w:rsid w:val="005B1FCC"/>
    <w:rsid w:val="005E1ABB"/>
    <w:rsid w:val="005E5705"/>
    <w:rsid w:val="005F3C60"/>
    <w:rsid w:val="006076AA"/>
    <w:rsid w:val="00614D7E"/>
    <w:rsid w:val="0063340E"/>
    <w:rsid w:val="00647A4F"/>
    <w:rsid w:val="00673988"/>
    <w:rsid w:val="0067694D"/>
    <w:rsid w:val="00677B21"/>
    <w:rsid w:val="00697DB1"/>
    <w:rsid w:val="006C3BC9"/>
    <w:rsid w:val="006C7E3B"/>
    <w:rsid w:val="006D2199"/>
    <w:rsid w:val="00704DFC"/>
    <w:rsid w:val="00722296"/>
    <w:rsid w:val="0072267C"/>
    <w:rsid w:val="00733B90"/>
    <w:rsid w:val="0073749B"/>
    <w:rsid w:val="0074617A"/>
    <w:rsid w:val="00747E9E"/>
    <w:rsid w:val="00776EDC"/>
    <w:rsid w:val="00781882"/>
    <w:rsid w:val="00786A65"/>
    <w:rsid w:val="00787DD5"/>
    <w:rsid w:val="007A0146"/>
    <w:rsid w:val="007A1916"/>
    <w:rsid w:val="007C5289"/>
    <w:rsid w:val="007C5C86"/>
    <w:rsid w:val="007D0BC7"/>
    <w:rsid w:val="007E0914"/>
    <w:rsid w:val="007E23ED"/>
    <w:rsid w:val="007E2E8E"/>
    <w:rsid w:val="007E6AEC"/>
    <w:rsid w:val="007F034C"/>
    <w:rsid w:val="008042E3"/>
    <w:rsid w:val="00854099"/>
    <w:rsid w:val="00866F90"/>
    <w:rsid w:val="008A14C6"/>
    <w:rsid w:val="008B08F4"/>
    <w:rsid w:val="008C2BC0"/>
    <w:rsid w:val="008C5FFE"/>
    <w:rsid w:val="00906C9E"/>
    <w:rsid w:val="009212FE"/>
    <w:rsid w:val="009229D0"/>
    <w:rsid w:val="00953661"/>
    <w:rsid w:val="0097103F"/>
    <w:rsid w:val="009870F4"/>
    <w:rsid w:val="0099606A"/>
    <w:rsid w:val="009B10BB"/>
    <w:rsid w:val="009B28A1"/>
    <w:rsid w:val="009D5187"/>
    <w:rsid w:val="009E29CD"/>
    <w:rsid w:val="009E7CEF"/>
    <w:rsid w:val="00A10D03"/>
    <w:rsid w:val="00A112E7"/>
    <w:rsid w:val="00A207E9"/>
    <w:rsid w:val="00A241F4"/>
    <w:rsid w:val="00A2737E"/>
    <w:rsid w:val="00A330C0"/>
    <w:rsid w:val="00A37572"/>
    <w:rsid w:val="00A42058"/>
    <w:rsid w:val="00A561D4"/>
    <w:rsid w:val="00A601FE"/>
    <w:rsid w:val="00A60D90"/>
    <w:rsid w:val="00A669E1"/>
    <w:rsid w:val="00A75787"/>
    <w:rsid w:val="00A77974"/>
    <w:rsid w:val="00A86E07"/>
    <w:rsid w:val="00A94015"/>
    <w:rsid w:val="00A95799"/>
    <w:rsid w:val="00AA6529"/>
    <w:rsid w:val="00AF1B6F"/>
    <w:rsid w:val="00B064F7"/>
    <w:rsid w:val="00B06C8C"/>
    <w:rsid w:val="00B26DD3"/>
    <w:rsid w:val="00B33A65"/>
    <w:rsid w:val="00B54827"/>
    <w:rsid w:val="00B622F0"/>
    <w:rsid w:val="00B66B5F"/>
    <w:rsid w:val="00B933DB"/>
    <w:rsid w:val="00BA3329"/>
    <w:rsid w:val="00BC4E50"/>
    <w:rsid w:val="00BC4F56"/>
    <w:rsid w:val="00BC66EB"/>
    <w:rsid w:val="00BE34DC"/>
    <w:rsid w:val="00BF6AC1"/>
    <w:rsid w:val="00C020B3"/>
    <w:rsid w:val="00C2014E"/>
    <w:rsid w:val="00C275C9"/>
    <w:rsid w:val="00C365E2"/>
    <w:rsid w:val="00C530BF"/>
    <w:rsid w:val="00C66DA1"/>
    <w:rsid w:val="00C82D5F"/>
    <w:rsid w:val="00C97C18"/>
    <w:rsid w:val="00CA2937"/>
    <w:rsid w:val="00CD0A11"/>
    <w:rsid w:val="00CE6E58"/>
    <w:rsid w:val="00CE7598"/>
    <w:rsid w:val="00D23C2E"/>
    <w:rsid w:val="00D33A7B"/>
    <w:rsid w:val="00D37C08"/>
    <w:rsid w:val="00D430A8"/>
    <w:rsid w:val="00D44470"/>
    <w:rsid w:val="00D52424"/>
    <w:rsid w:val="00D66283"/>
    <w:rsid w:val="00D70659"/>
    <w:rsid w:val="00D87652"/>
    <w:rsid w:val="00D92A74"/>
    <w:rsid w:val="00D95359"/>
    <w:rsid w:val="00DA7970"/>
    <w:rsid w:val="00DB61A9"/>
    <w:rsid w:val="00DB77F2"/>
    <w:rsid w:val="00DC7376"/>
    <w:rsid w:val="00DD0545"/>
    <w:rsid w:val="00DD406D"/>
    <w:rsid w:val="00DF560B"/>
    <w:rsid w:val="00DF697D"/>
    <w:rsid w:val="00E1738C"/>
    <w:rsid w:val="00E30EBC"/>
    <w:rsid w:val="00E400E1"/>
    <w:rsid w:val="00E75308"/>
    <w:rsid w:val="00E75EB8"/>
    <w:rsid w:val="00E7632B"/>
    <w:rsid w:val="00E831B6"/>
    <w:rsid w:val="00E9675E"/>
    <w:rsid w:val="00EA1A60"/>
    <w:rsid w:val="00EB5877"/>
    <w:rsid w:val="00EC73CA"/>
    <w:rsid w:val="00EE1968"/>
    <w:rsid w:val="00EF76E1"/>
    <w:rsid w:val="00F01893"/>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2EF1-E39C-40B5-A8EA-92702CE7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 RotaJET für Dekordrucker</dc:title>
  <dc:creator>Bausenwein, Linda (ZM)</dc:creator>
  <dc:description>Optimiert für Word 2016</dc:description>
  <cp:lastModifiedBy>Wolz, Kerstin (ZM)</cp:lastModifiedBy>
  <cp:revision>59</cp:revision>
  <cp:lastPrinted>2019-12-12T09:00:00Z</cp:lastPrinted>
  <dcterms:created xsi:type="dcterms:W3CDTF">2019-09-24T13:29:00Z</dcterms:created>
  <dcterms:modified xsi:type="dcterms:W3CDTF">2020-05-18T06:46:00Z</dcterms:modified>
</cp:coreProperties>
</file>