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Banknote Solutions S.A. partners with friSense Technologies Limited to Innovate the Cash Cycle</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Joint Development agreement in the field of security technology</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Development of new products for further automatisation of the cash circulation</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Connection of physical banknotes and digital ecosystems</w:t>
      </w:r>
    </w:p>
    <w:p w:rsidR="00000000" w:rsidDel="00000000" w:rsidP="00000000" w:rsidRDefault="00000000" w:rsidRPr="00000000" w14:paraId="00000007">
      <w:pPr>
        <w:numPr>
          <w:ilvl w:val="0"/>
          <w:numId w:val="1"/>
        </w:numPr>
        <w:spacing w:after="0" w:lineRule="auto"/>
        <w:ind w:left="340"/>
        <w:rPr>
          <w:u w:val="none"/>
        </w:rPr>
      </w:pPr>
      <w:r w:rsidDel="00000000" w:rsidR="00000000" w:rsidRPr="00000000">
        <w:rPr>
          <w:rtl w:val="0"/>
        </w:rPr>
        <w:t xml:space="preserve">Optimization of process integrity and data capture</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Lausanne</w:t>
      </w:r>
      <w:r w:rsidDel="00000000" w:rsidR="00000000" w:rsidRPr="00000000">
        <w:rPr>
          <w:rtl w:val="0"/>
        </w:rPr>
        <w:t xml:space="preserve">, </w:t>
      </w:r>
      <w:r w:rsidDel="00000000" w:rsidR="00000000" w:rsidRPr="00000000">
        <w:rPr>
          <w:rtl w:val="0"/>
        </w:rPr>
        <w:t xml:space="preserve">27.09.2023</w:t>
      </w:r>
      <w:r w:rsidDel="00000000" w:rsidR="00000000" w:rsidRPr="00000000">
        <w:rPr>
          <w:rtl w:val="0"/>
        </w:rPr>
        <w:br w:type="textWrapping"/>
        <w:t xml:space="preserve">On the 8th of June 2023, Koenig &amp; Bauer Banknote Solutions S.A. based in Switzerland and friSense Technologies Limited based in the UK have signed a Joint Development agreement. Both companies will explore together developing new products for further automatisation of the cash circulation.</w:t>
      </w:r>
    </w:p>
    <w:p w:rsidR="00000000" w:rsidDel="00000000" w:rsidP="00000000" w:rsidRDefault="00000000" w:rsidRPr="00000000" w14:paraId="0000000A">
      <w:pPr>
        <w:pageBreakBefore w:val="0"/>
        <w:spacing w:after="240" w:lineRule="auto"/>
        <w:rPr/>
      </w:pPr>
      <w:r w:rsidDel="00000000" w:rsidR="00000000" w:rsidRPr="00000000">
        <w:rPr>
          <w:rtl w:val="0"/>
        </w:rPr>
        <w:t xml:space="preserve">Under this agreement both companies will collaborate to develop solutions enabling physical banknotes to connect to digital ecosystems. Such connectivity will create valuable data for cash cycle stakeholders and enable significant positive change in the way cash is accessed, moved and managed in society.</w:t>
      </w:r>
    </w:p>
    <w:p w:rsidR="00000000" w:rsidDel="00000000" w:rsidP="00000000" w:rsidRDefault="00000000" w:rsidRPr="00000000" w14:paraId="0000000B">
      <w:pPr>
        <w:pageBreakBefore w:val="0"/>
        <w:spacing w:after="240" w:lineRule="auto"/>
        <w:rPr/>
      </w:pPr>
      <w:r w:rsidDel="00000000" w:rsidR="00000000" w:rsidRPr="00000000">
        <w:rPr>
          <w:rtl w:val="0"/>
        </w:rPr>
        <w:t xml:space="preserve">Mr. Safwan Kuzbari, friSense Technologies Limited CEO commented on this new partnership by saying; “Today marks a significant milestone as friSense joins hands with KBBS in a collaborative effort to revolutionize anti-counterfeit solutions. This partnership underscores our shared long-term commitment to innovation and security technology.”</w:t>
      </w:r>
    </w:p>
    <w:p w:rsidR="00000000" w:rsidDel="00000000" w:rsidP="00000000" w:rsidRDefault="00000000" w:rsidRPr="00000000" w14:paraId="0000000C">
      <w:pPr>
        <w:pageBreakBefore w:val="0"/>
        <w:spacing w:after="240" w:lineRule="auto"/>
        <w:rPr/>
      </w:pPr>
      <w:r w:rsidDel="00000000" w:rsidR="00000000" w:rsidRPr="00000000">
        <w:rPr>
          <w:rtl w:val="0"/>
        </w:rPr>
        <w:t xml:space="preserve">Eric Boissonnas Koenig &amp; Bauer Banknote Solutions CEO went on to say that; “Through our partnership with friSense Technologies, we will add value to the banknote production process by optimizing process integrity and data capture. The technologies we will develop together will also empower cash cycle stakeholders to develop new and more sustainable ways to manage cash in society. This exciting partnership allows us to address emerging challenges and opportunities in the banknote ecosystem and create new value propositions for our customers and Central Banks around the world.”</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0F">
      <w:pPr>
        <w:pageBreakBefore w:val="0"/>
        <w:spacing w:after="240" w:lineRule="auto"/>
        <w:rPr/>
      </w:pPr>
      <w:r w:rsidDel="00000000" w:rsidR="00000000" w:rsidRPr="00000000">
        <w:rPr>
          <w:rtl w:val="0"/>
        </w:rPr>
        <w:t xml:space="preserve">Koenig &amp; Bauer Banknote Solutions S.A. partners with friSense Technologies Limited</w:t>
      </w:r>
      <w:r w:rsidDel="00000000" w:rsidR="00000000" w:rsidRPr="00000000">
        <w:rPr>
          <w:rtl w:val="0"/>
        </w:rPr>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2">
      <w:pPr>
        <w:spacing w:line="276" w:lineRule="auto"/>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15">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spacing w:after="0" w:lineRule="auto"/>
        <w:rPr>
          <w:b w:val="1"/>
        </w:rPr>
      </w:pPr>
      <w:r w:rsidDel="00000000" w:rsidR="00000000" w:rsidRPr="00000000">
        <w:rPr>
          <w:b w:val="1"/>
          <w:rtl w:val="0"/>
        </w:rPr>
        <w:t xml:space="preserve">About friSense Technologies Limited</w:t>
      </w:r>
    </w:p>
    <w:p w:rsidR="00000000" w:rsidDel="00000000" w:rsidP="00000000" w:rsidRDefault="00000000" w:rsidRPr="00000000" w14:paraId="00000018">
      <w:pPr>
        <w:pageBreakBefore w:val="0"/>
        <w:spacing w:after="240" w:lineRule="auto"/>
        <w:rPr/>
      </w:pPr>
      <w:r w:rsidDel="00000000" w:rsidR="00000000" w:rsidRPr="00000000">
        <w:rPr>
          <w:rtl w:val="0"/>
        </w:rPr>
        <w:t xml:space="preserve">friSense Technologies Limited excels in capacitive-coupled RFID solutions. Their patented tech provides ultra-thin protection against counterfeits, along with enhanced RFID features. Based in the UK, friSense can design and develop unique security and tracking solutions for any use case. </w:t>
      </w:r>
    </w:p>
    <w:p w:rsidR="00000000" w:rsidDel="00000000" w:rsidP="00000000" w:rsidRDefault="00000000" w:rsidRPr="00000000" w14:paraId="00000019">
      <w:pPr>
        <w:pageBreakBefore w:val="0"/>
        <w:spacing w:after="240" w:lineRule="auto"/>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www.frisense.com</w:t>
        </w:r>
      </w:hyperlink>
      <w:r w:rsidDel="00000000" w:rsidR="00000000" w:rsidRPr="00000000">
        <w:rPr>
          <w:rtl w:val="0"/>
        </w:rPr>
      </w:r>
    </w:p>
    <w:p w:rsidR="00000000" w:rsidDel="00000000" w:rsidP="00000000" w:rsidRDefault="00000000" w:rsidRPr="00000000" w14:paraId="0000001A">
      <w:pPr>
        <w:pageBreakBefore w:val="0"/>
        <w:spacing w:after="240" w:lineRule="auto"/>
        <w:rPr/>
      </w:pPr>
      <w:r w:rsidDel="00000000" w:rsidR="00000000" w:rsidRPr="00000000">
        <w:rPr>
          <w:rtl w:val="0"/>
        </w:rPr>
      </w:r>
    </w:p>
    <w:p w:rsidR="00000000" w:rsidDel="00000000" w:rsidP="00000000" w:rsidRDefault="00000000" w:rsidRPr="00000000" w14:paraId="0000001B">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Banknote Solutions S.A. partners with friSense Technologies Limited to Innovate the Cash Cycle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yperlink" Target="http://www.frisen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