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88B" w:rsidRDefault="00122595">
      <w:pPr>
        <w:pStyle w:val="Titel"/>
        <w:keepNext w:val="0"/>
        <w:keepLines w:val="0"/>
        <w:tabs>
          <w:tab w:val="left" w:pos="850"/>
        </w:tabs>
        <w:spacing w:before="840" w:after="600" w:line="240" w:lineRule="auto"/>
        <w:rPr>
          <w:b/>
          <w:bCs/>
          <w:color w:val="002355"/>
          <w:sz w:val="60"/>
          <w:szCs w:val="60"/>
        </w:rPr>
      </w:pPr>
      <w:bookmarkStart w:id="0" w:name="_gjdgxs" w:colFirst="0" w:colLast="0"/>
      <w:bookmarkEnd w:id="0"/>
      <w:r>
        <w:rPr>
          <w:b/>
          <w:bCs/>
          <w:color w:val="002355"/>
          <w:sz w:val="60"/>
          <w:szCs w:val="60"/>
        </w:rPr>
        <w:t xml:space="preserve">Presseinformation </w:t>
      </w:r>
    </w:p>
    <w:p w:rsidR="006C288B" w:rsidRDefault="00122595">
      <w:pPr>
        <w:pStyle w:val="berschrift1"/>
        <w:spacing w:before="240"/>
      </w:pPr>
      <w:bookmarkStart w:id="1" w:name="_8dc17rpedp3q" w:colFirst="0" w:colLast="0"/>
      <w:bookmarkEnd w:id="1"/>
      <w:r>
        <w:t xml:space="preserve">Koenig &amp; Bauer startet mit hoher Dynamik in das Jahr 2026: Massiver Anstieg im Auftragseingang und erfolgreicher Turnaround im Segment S&amp;T </w:t>
      </w:r>
    </w:p>
    <w:p w:rsidR="006C288B" w:rsidRDefault="006C288B">
      <w:pPr>
        <w:spacing w:after="0"/>
      </w:pPr>
    </w:p>
    <w:p w:rsidR="006C288B" w:rsidRDefault="00122595">
      <w:pPr>
        <w:numPr>
          <w:ilvl w:val="0"/>
          <w:numId w:val="1"/>
        </w:numPr>
        <w:shd w:val="clear" w:color="auto" w:fill="FFFFFF"/>
        <w:spacing w:after="0"/>
        <w:rPr>
          <w:sz w:val="21"/>
          <w:szCs w:val="21"/>
        </w:rPr>
      </w:pPr>
      <w:r>
        <w:t>Höchster Q1-Auftragseingang seit zwei Jahren: Signifikanter Anstieg um +21,4 % auf 297,6 Mio. €</w:t>
      </w:r>
    </w:p>
    <w:p w:rsidR="006C288B" w:rsidRDefault="00122595">
      <w:pPr>
        <w:numPr>
          <w:ilvl w:val="0"/>
          <w:numId w:val="1"/>
        </w:numPr>
        <w:pBdr>
          <w:top w:val="nil"/>
          <w:left w:val="nil"/>
          <w:bottom w:val="nil"/>
          <w:right w:val="nil"/>
          <w:between w:val="nil"/>
        </w:pBdr>
        <w:spacing w:after="0"/>
      </w:pPr>
      <w:r>
        <w:t>Konzernumsatz wächst gegen den Markttrend um +3,2 % auf 260,2 Mio. € – starke Book-</w:t>
      </w:r>
      <w:proofErr w:type="spellStart"/>
      <w:r>
        <w:t>to</w:t>
      </w:r>
      <w:proofErr w:type="spellEnd"/>
      <w:r>
        <w:t>-Bill-Ratio von 1,14</w:t>
      </w:r>
    </w:p>
    <w:p w:rsidR="006C288B" w:rsidRDefault="00122595">
      <w:pPr>
        <w:numPr>
          <w:ilvl w:val="0"/>
          <w:numId w:val="1"/>
        </w:numPr>
        <w:pBdr>
          <w:top w:val="nil"/>
          <w:left w:val="nil"/>
          <w:bottom w:val="nil"/>
          <w:right w:val="nil"/>
          <w:between w:val="nil"/>
        </w:pBdr>
        <w:shd w:val="clear" w:color="auto" w:fill="FFFFFF"/>
        <w:spacing w:after="0"/>
        <w:rPr>
          <w:sz w:val="21"/>
          <w:szCs w:val="21"/>
        </w:rPr>
      </w:pPr>
      <w:r>
        <w:t>Zweigeteilte operative Dynamik: Erfolgreiche operative Kehrtwende bei S&amp;T kompensiert aktuellen Marktdruck bei P&amp;P</w:t>
      </w:r>
    </w:p>
    <w:p w:rsidR="006C288B" w:rsidRDefault="00122595">
      <w:pPr>
        <w:numPr>
          <w:ilvl w:val="0"/>
          <w:numId w:val="1"/>
        </w:numPr>
        <w:pBdr>
          <w:top w:val="nil"/>
          <w:left w:val="nil"/>
          <w:bottom w:val="nil"/>
          <w:right w:val="nil"/>
          <w:between w:val="nil"/>
        </w:pBdr>
        <w:shd w:val="clear" w:color="auto" w:fill="FFFFFF"/>
        <w:spacing w:after="0"/>
        <w:rPr>
          <w:sz w:val="21"/>
          <w:szCs w:val="21"/>
        </w:rPr>
      </w:pPr>
      <w:r>
        <w:t>Konsequente „IMPACT“-Umsetzung: Planmäßige Fokussierung des Konzern-</w:t>
      </w:r>
      <w:proofErr w:type="spellStart"/>
      <w:r>
        <w:t>Footprints</w:t>
      </w:r>
      <w:proofErr w:type="spellEnd"/>
      <w:r>
        <w:t xml:space="preserve">, Fortführung des </w:t>
      </w:r>
      <w:proofErr w:type="spellStart"/>
      <w:r>
        <w:t>Coding</w:t>
      </w:r>
      <w:proofErr w:type="spellEnd"/>
      <w:r>
        <w:t xml:space="preserve">-Geschäfts in Eigenregie und starke Messeerfolge </w:t>
      </w:r>
    </w:p>
    <w:p w:rsidR="006C288B" w:rsidRDefault="00122595">
      <w:pPr>
        <w:numPr>
          <w:ilvl w:val="0"/>
          <w:numId w:val="1"/>
        </w:numPr>
        <w:pBdr>
          <w:top w:val="nil"/>
          <w:left w:val="nil"/>
          <w:bottom w:val="nil"/>
          <w:right w:val="nil"/>
          <w:between w:val="nil"/>
        </w:pBdr>
        <w:shd w:val="clear" w:color="auto" w:fill="FFFFFF"/>
        <w:spacing w:after="0"/>
        <w:rPr>
          <w:sz w:val="21"/>
          <w:szCs w:val="21"/>
        </w:rPr>
      </w:pPr>
      <w:r>
        <w:t>Ausblick 2026 bestätigt: Stabiler Konzernumsatz auf Vorjahresniveau (~1,3 Mrd. €) sowie operatives EBITDA von circa 80 Mio. € prognostiziert</w:t>
      </w:r>
    </w:p>
    <w:p w:rsidR="006C288B" w:rsidRDefault="006C288B">
      <w:pPr>
        <w:pStyle w:val="berschrift3"/>
        <w:rPr>
          <w:color w:val="000000"/>
          <w:sz w:val="40"/>
          <w:szCs w:val="40"/>
        </w:rPr>
      </w:pPr>
      <w:bookmarkStart w:id="2" w:name="_3znysh7" w:colFirst="0" w:colLast="0"/>
      <w:bookmarkEnd w:id="2"/>
    </w:p>
    <w:p w:rsidR="006C288B" w:rsidRDefault="00122595">
      <w:pPr>
        <w:pBdr>
          <w:top w:val="nil"/>
          <w:left w:val="nil"/>
          <w:bottom w:val="nil"/>
          <w:right w:val="nil"/>
          <w:between w:val="nil"/>
        </w:pBdr>
        <w:rPr>
          <w:highlight w:val="white"/>
        </w:rPr>
      </w:pPr>
      <w:r>
        <w:rPr>
          <w:highlight w:val="white"/>
        </w:rPr>
        <w:t>Würzburg, 06.05.2026</w:t>
      </w:r>
      <w:r>
        <w:rPr>
          <w:highlight w:val="white"/>
        </w:rPr>
        <w:br/>
        <w:t>Die Koenig &amp; Bauer AG ist mit einer starken operativen Dynamik in das Geschäftsjahr 2026 gestartet. Trotz eines anhaltend volatilen Marktumfelds, geopolitischer Risiken durch die Nahost-Eskalation und einer schwachen Weltkonjunktur verzeichnete das Unternehmen den höchsten Auftragseingang in einem ersten Quartal seit zwei Jahren.</w:t>
      </w:r>
    </w:p>
    <w:p w:rsidR="006C288B" w:rsidRDefault="00122595">
      <w:pPr>
        <w:pBdr>
          <w:top w:val="nil"/>
          <w:left w:val="nil"/>
          <w:bottom w:val="nil"/>
          <w:right w:val="nil"/>
          <w:between w:val="nil"/>
        </w:pBdr>
        <w:spacing w:before="240"/>
        <w:rPr>
          <w:highlight w:val="white"/>
        </w:rPr>
      </w:pPr>
      <w:r>
        <w:rPr>
          <w:highlight w:val="white"/>
        </w:rPr>
        <w:t xml:space="preserve">„Der starke Jahresauftakt im Auftragseingang ist ein massiver Vertrauensbeweis unserer Kunden und belegt die ausgeprägte Resilienz von Koenig &amp; Bauer“, erklärt der Vorstandsvorsitzende Dr. Stephen Kimmich. „Wie bereits zu unseren Jahreszahlen betont: In Zeiten globaler handelspolitischer Unsicherheiten ist Stabilität kein statischer Zustand, sondern erfordert eine hohe organisatorische Reaktionsfähigkeit. Unser deutliches Wachstum beim Auftragseingang gegen den Branchentrend zeigt, dass wir unsere Hausaufgaben machen. Dazu gehört auch die konsequente Umsetzung unserer Strategie ‚IMPACT‘: Mit der planmäßigen </w:t>
      </w:r>
      <w:proofErr w:type="spellStart"/>
      <w:r>
        <w:rPr>
          <w:highlight w:val="white"/>
        </w:rPr>
        <w:t>Stillegung</w:t>
      </w:r>
      <w:proofErr w:type="spellEnd"/>
      <w:r>
        <w:rPr>
          <w:highlight w:val="white"/>
        </w:rPr>
        <w:t xml:space="preserve"> des Betriebs der Albert-Frankenthal GmbH liefern wir nun exakt das, was wir zur weiteren Konzernfokussierung und Effizienzsteigerung angekündigt haben. Wir setzen die richtigen Impulse, gestalten die Branchentransformation aktiv mit und sichern unsere langfristige Wettbewerbsfähigkeit.“ </w:t>
      </w:r>
    </w:p>
    <w:p w:rsidR="006C288B" w:rsidRDefault="00122595">
      <w:pPr>
        <w:pBdr>
          <w:top w:val="nil"/>
          <w:left w:val="nil"/>
          <w:bottom w:val="nil"/>
          <w:right w:val="nil"/>
          <w:between w:val="nil"/>
        </w:pBdr>
        <w:spacing w:before="240"/>
        <w:rPr>
          <w:highlight w:val="white"/>
        </w:rPr>
      </w:pPr>
      <w:r>
        <w:rPr>
          <w:b/>
          <w:bCs/>
          <w:color w:val="002355"/>
        </w:rPr>
        <w:t xml:space="preserve">Geschäftsentwicklung Q1 2026: Starkes Auftragsplus, Umsatzwachstum und stabile Finanzbasis </w:t>
      </w:r>
      <w:r>
        <w:rPr>
          <w:b/>
          <w:bCs/>
          <w:color w:val="002355"/>
        </w:rPr>
        <w:br/>
      </w:r>
      <w:r>
        <w:rPr>
          <w:highlight w:val="white"/>
        </w:rPr>
        <w:t>Der Konzernumsatz stieg im ersten Quartal um +3,2 % auf 260,2 Mio. € (Vj.: 252,2 Mio. €). Eine starke Book-</w:t>
      </w:r>
      <w:proofErr w:type="spellStart"/>
      <w:r>
        <w:rPr>
          <w:highlight w:val="white"/>
        </w:rPr>
        <w:t>to</w:t>
      </w:r>
      <w:proofErr w:type="spellEnd"/>
      <w:r>
        <w:rPr>
          <w:highlight w:val="white"/>
        </w:rPr>
        <w:t xml:space="preserve">-Bill-Ratio von 1,14 (Vj.: 0,97) unterstreicht diese operative Wachstumsdynamik. Der Auftragseingang der Gruppe stieg deutlich um +21,4 % auf 297,6 Mio. € (Vj.: 245,2 Mio. €). Der </w:t>
      </w:r>
      <w:r>
        <w:rPr>
          <w:highlight w:val="white"/>
        </w:rPr>
        <w:lastRenderedPageBreak/>
        <w:t>Auftragsbestand bleibt mit 1.008,0 Mio. € weiterhin auf einem sehr starken Niveau oberhalb der Milliarden-Marke (Vj.: 1.032,8 Mio. €) und bildet einen verlässlichen Anker für die kommenden Quartale.</w:t>
      </w:r>
    </w:p>
    <w:p w:rsidR="006C288B" w:rsidRDefault="00122595">
      <w:pPr>
        <w:pBdr>
          <w:top w:val="nil"/>
          <w:left w:val="nil"/>
          <w:bottom w:val="nil"/>
          <w:right w:val="nil"/>
          <w:between w:val="nil"/>
        </w:pBdr>
        <w:spacing w:before="240"/>
        <w:rPr>
          <w:color w:val="0A0F0A"/>
          <w:highlight w:val="white"/>
        </w:rPr>
      </w:pPr>
      <w:r>
        <w:rPr>
          <w:highlight w:val="white"/>
        </w:rPr>
        <w:t>Das operative EBITDA lag nach einem für den Maschinenbau typisch verhaltenen Jahresstart bei -2,9 Mio. € (Vj.: -0,6 Mio. €). Das EBITDA von -9,5 Mio. € enthält dabei nicht operative Sondereinflüsse in Höhe von 6,6 Mio. € für die planmäßige Stilllegung des Betriebs der Albert-Frankenthal GmbH. Das Net Working Capital (NWC) konnte mit einer Quote von 23,7 % sicher innerhalb der angestrebten Zielgröße von maximal 25 % des Konzernumsatzes gehalten werden.</w:t>
      </w:r>
    </w:p>
    <w:p w:rsidR="006C288B" w:rsidRDefault="00122595">
      <w:pPr>
        <w:pBdr>
          <w:top w:val="nil"/>
          <w:left w:val="nil"/>
          <w:bottom w:val="nil"/>
          <w:right w:val="nil"/>
          <w:between w:val="nil"/>
        </w:pBdr>
        <w:spacing w:before="240"/>
        <w:rPr>
          <w:highlight w:val="white"/>
        </w:rPr>
      </w:pPr>
      <w:r>
        <w:rPr>
          <w:b/>
          <w:bCs/>
          <w:color w:val="002355"/>
        </w:rPr>
        <w:t>Zweigeteilte operat</w:t>
      </w:r>
      <w:r w:rsidR="00DB4659">
        <w:rPr>
          <w:b/>
          <w:bCs/>
          <w:color w:val="002355"/>
        </w:rPr>
        <w:t>ive Dynamik in den Segmenten</w:t>
      </w:r>
      <w:r>
        <w:rPr>
          <w:b/>
          <w:bCs/>
          <w:color w:val="002355"/>
        </w:rPr>
        <w:br/>
      </w:r>
      <w:r>
        <w:rPr>
          <w:highlight w:val="white"/>
        </w:rPr>
        <w:t xml:space="preserve">Die operative Entwicklung der beiden Konzernsegmente verlief im ersten Quartal unterschiedlich: Im Segment </w:t>
      </w:r>
      <w:r>
        <w:rPr>
          <w:b/>
          <w:bCs/>
          <w:highlight w:val="white"/>
        </w:rPr>
        <w:t>Special &amp; New Technologies (S&amp;T)</w:t>
      </w:r>
      <w:r>
        <w:rPr>
          <w:highlight w:val="white"/>
        </w:rPr>
        <w:t xml:space="preserve"> gelang der erfolgreiche operative Turnaround. Das operative EBITDA verbesserte sich signifikant auf 4,1 Mio. € (Vj.: -8,1 Mio. €). Getragen von Leistungsfortschritten bei Großprojekten wuchs der Umsatz kräftig um +24,1 % auf 134,0 Mio. €. Der Auftragseingang verzeichnete ein massives Plus von +40,6 % auf 114,7 Mio. €. Diese starke kommerzielle Entwicklung wird von zukunftsweisenden Innovationen flankiert: Auf den „Technology Days 2026“ präsentierte Koenig &amp; Bauer die neue CI-</w:t>
      </w:r>
      <w:proofErr w:type="spellStart"/>
      <w:r>
        <w:rPr>
          <w:highlight w:val="white"/>
        </w:rPr>
        <w:t>Flexo</w:t>
      </w:r>
      <w:proofErr w:type="spellEnd"/>
      <w:r>
        <w:rPr>
          <w:highlight w:val="white"/>
        </w:rPr>
        <w:t xml:space="preserve"> Demomaschine XD Pro als „Arbeitstier“ des modernen </w:t>
      </w:r>
      <w:proofErr w:type="spellStart"/>
      <w:r>
        <w:rPr>
          <w:highlight w:val="white"/>
        </w:rPr>
        <w:t>Flexodrucks</w:t>
      </w:r>
      <w:proofErr w:type="spellEnd"/>
      <w:r>
        <w:rPr>
          <w:highlight w:val="white"/>
        </w:rPr>
        <w:t xml:space="preserve">, ergänzt durch Live-Vorführungen von </w:t>
      </w:r>
      <w:proofErr w:type="spellStart"/>
      <w:r>
        <w:rPr>
          <w:highlight w:val="white"/>
        </w:rPr>
        <w:t>RotaJET</w:t>
      </w:r>
      <w:proofErr w:type="spellEnd"/>
      <w:r>
        <w:rPr>
          <w:highlight w:val="white"/>
        </w:rPr>
        <w:t>-Anwendungen. Dabei demonstrierte das Unternehmen eindrucksvoll die nahtlose Integration von CI-</w:t>
      </w:r>
      <w:proofErr w:type="spellStart"/>
      <w:r>
        <w:rPr>
          <w:highlight w:val="white"/>
        </w:rPr>
        <w:t>Flexo</w:t>
      </w:r>
      <w:proofErr w:type="spellEnd"/>
      <w:r>
        <w:rPr>
          <w:highlight w:val="white"/>
        </w:rPr>
        <w:t xml:space="preserve"> und Digitaldruck zu durchgängigen End-</w:t>
      </w:r>
      <w:proofErr w:type="spellStart"/>
      <w:r>
        <w:rPr>
          <w:highlight w:val="white"/>
        </w:rPr>
        <w:t>to</w:t>
      </w:r>
      <w:proofErr w:type="spellEnd"/>
      <w:r>
        <w:rPr>
          <w:highlight w:val="white"/>
        </w:rPr>
        <w:t xml:space="preserve">-End-Lösungen. Zudem zeigte Koenig &amp; Bauer auf, wie durch die Zusammenführung von vernetzten Workflows und Materialien, die Stärkung von Branchenpartnerschaften </w:t>
      </w:r>
      <w:r w:rsidR="00311EB5">
        <w:rPr>
          <w:highlight w:val="white"/>
        </w:rPr>
        <w:t xml:space="preserve">sowie </w:t>
      </w:r>
      <w:bookmarkStart w:id="3" w:name="_GoBack"/>
      <w:bookmarkEnd w:id="3"/>
      <w:r>
        <w:rPr>
          <w:highlight w:val="white"/>
        </w:rPr>
        <w:t>echte Wertschöpfung für die Kunden entsteht.</w:t>
      </w:r>
    </w:p>
    <w:p w:rsidR="006C288B" w:rsidRDefault="00122595">
      <w:pPr>
        <w:pBdr>
          <w:top w:val="nil"/>
          <w:left w:val="nil"/>
          <w:bottom w:val="nil"/>
          <w:right w:val="nil"/>
          <w:between w:val="nil"/>
        </w:pBdr>
        <w:spacing w:before="240"/>
        <w:rPr>
          <w:highlight w:val="white"/>
        </w:rPr>
      </w:pPr>
      <w:r>
        <w:rPr>
          <w:highlight w:val="white"/>
        </w:rPr>
        <w:t xml:space="preserve">Im Segment </w:t>
      </w:r>
      <w:r>
        <w:rPr>
          <w:b/>
          <w:bCs/>
          <w:highlight w:val="white"/>
        </w:rPr>
        <w:t xml:space="preserve">Paper &amp; </w:t>
      </w:r>
      <w:proofErr w:type="spellStart"/>
      <w:r>
        <w:rPr>
          <w:b/>
          <w:bCs/>
          <w:highlight w:val="white"/>
        </w:rPr>
        <w:t>Packaging</w:t>
      </w:r>
      <w:proofErr w:type="spellEnd"/>
      <w:r>
        <w:rPr>
          <w:b/>
          <w:bCs/>
          <w:highlight w:val="white"/>
        </w:rPr>
        <w:t xml:space="preserve"> Sheetfed Systems (P&amp;P) </w:t>
      </w:r>
      <w:r>
        <w:rPr>
          <w:highlight w:val="white"/>
        </w:rPr>
        <w:t xml:space="preserve">bewies Koenig &amp; Bauer ebenfalls relative Marktstärke beim Auftragseingang (+12,4 % auf 194,3 Mio. €). Der Umsatz (133,4 Mio. €) und das operative EBITDA (-8,4 Mio. €) standen hierbei jedoch noch unter dem Einfluss des niedrigeren Orderniveaus aus dem Vorjahr sowie des spürbaren Investitions- und Preisdrucks in Europa. Zusätzliche technologische und kommerzielle Impulse liefert hierbei der Bogendigitaldruck: Beim exklusiven </w:t>
      </w:r>
      <w:proofErr w:type="spellStart"/>
      <w:r>
        <w:rPr>
          <w:highlight w:val="white"/>
        </w:rPr>
        <w:t>VariJET</w:t>
      </w:r>
      <w:proofErr w:type="spellEnd"/>
      <w:r>
        <w:rPr>
          <w:highlight w:val="white"/>
        </w:rPr>
        <w:t xml:space="preserve"> 106 Executive </w:t>
      </w:r>
      <w:proofErr w:type="spellStart"/>
      <w:r>
        <w:rPr>
          <w:highlight w:val="white"/>
        </w:rPr>
        <w:t>Summit</w:t>
      </w:r>
      <w:proofErr w:type="spellEnd"/>
      <w:r>
        <w:rPr>
          <w:highlight w:val="white"/>
        </w:rPr>
        <w:t xml:space="preserve"> in Radebeul informierten sich über 80 Branchenexpertinnen und -experten über die hybride Faltschachtelproduktion. Erfolgreiche Erfahrungsberichte von Erstanwendern unterstrichen dabei eindrucksvoll, wie die nahtlose End-</w:t>
      </w:r>
      <w:proofErr w:type="spellStart"/>
      <w:r>
        <w:rPr>
          <w:highlight w:val="white"/>
        </w:rPr>
        <w:t>to</w:t>
      </w:r>
      <w:proofErr w:type="spellEnd"/>
      <w:r>
        <w:rPr>
          <w:highlight w:val="white"/>
        </w:rPr>
        <w:t xml:space="preserve">-End-Integration operative Strategien der Kunden </w:t>
      </w:r>
      <w:proofErr w:type="gramStart"/>
      <w:r>
        <w:rPr>
          <w:highlight w:val="white"/>
        </w:rPr>
        <w:t>neu gestaltet</w:t>
      </w:r>
      <w:proofErr w:type="gramEnd"/>
      <w:r>
        <w:rPr>
          <w:highlight w:val="white"/>
        </w:rPr>
        <w:t xml:space="preserve"> und profitables Wachstum ermöglicht. Ein weiterer wichtiger Treiber für den positiven Order-Trend im klassischen Bogenoffset war der große Messeerfolg auf der </w:t>
      </w:r>
      <w:proofErr w:type="spellStart"/>
      <w:r>
        <w:rPr>
          <w:highlight w:val="white"/>
        </w:rPr>
        <w:t>ExpoPrint</w:t>
      </w:r>
      <w:proofErr w:type="spellEnd"/>
      <w:r>
        <w:rPr>
          <w:highlight w:val="white"/>
        </w:rPr>
        <w:t xml:space="preserve"> in São Paulo. Hier konnten mehrere hochautomatisierte Bogenoffsetmaschinen der </w:t>
      </w:r>
      <w:proofErr w:type="spellStart"/>
      <w:r>
        <w:rPr>
          <w:highlight w:val="white"/>
        </w:rPr>
        <w:t>Rapida</w:t>
      </w:r>
      <w:proofErr w:type="spellEnd"/>
      <w:r>
        <w:rPr>
          <w:highlight w:val="white"/>
        </w:rPr>
        <w:t xml:space="preserve">-Baureihe an Neukunden und bestehende Partner in Brasilien und den Nachbarländern verkauft werden. Das dichte und hochspezialisierte Servicenetzwerk in der Region erweist sich dabei als entscheidender Wettbewerbsvorteil für die Betriebe. </w:t>
      </w:r>
    </w:p>
    <w:p w:rsidR="006C288B" w:rsidRDefault="00122595">
      <w:pPr>
        <w:pBdr>
          <w:top w:val="nil"/>
          <w:left w:val="nil"/>
          <w:bottom w:val="nil"/>
          <w:right w:val="nil"/>
          <w:between w:val="nil"/>
        </w:pBdr>
        <w:spacing w:before="240"/>
        <w:rPr>
          <w:highlight w:val="white"/>
        </w:rPr>
      </w:pPr>
      <w:r>
        <w:rPr>
          <w:b/>
          <w:bCs/>
          <w:color w:val="002355"/>
        </w:rPr>
        <w:t xml:space="preserve">Strategie „IMPACT“ in Aktion: Fortführung des </w:t>
      </w:r>
      <w:proofErr w:type="spellStart"/>
      <w:r>
        <w:rPr>
          <w:b/>
          <w:bCs/>
          <w:color w:val="002355"/>
        </w:rPr>
        <w:t>Coding</w:t>
      </w:r>
      <w:proofErr w:type="spellEnd"/>
      <w:r>
        <w:rPr>
          <w:b/>
          <w:bCs/>
          <w:color w:val="002355"/>
        </w:rPr>
        <w:t xml:space="preserve">-Geschäfts in Eigenregie und KI-Transformation </w:t>
      </w:r>
      <w:r>
        <w:rPr>
          <w:b/>
          <w:bCs/>
          <w:color w:val="002355"/>
        </w:rPr>
        <w:br/>
      </w:r>
      <w:r>
        <w:rPr>
          <w:highlight w:val="white"/>
        </w:rPr>
        <w:t xml:space="preserve">Parallel zur operativen Geschäftsentwicklung treibt Koenig &amp; Bauer die Umsetzung der Handlungsfelder aus dem Leitfaden „IMPACT“ voran. Im Bereich </w:t>
      </w:r>
      <w:proofErr w:type="spellStart"/>
      <w:r>
        <w:rPr>
          <w:highlight w:val="white"/>
        </w:rPr>
        <w:t>Competitiveness</w:t>
      </w:r>
      <w:proofErr w:type="spellEnd"/>
      <w:r>
        <w:rPr>
          <w:highlight w:val="white"/>
        </w:rPr>
        <w:t xml:space="preserve"> wurde die im Juli 2025 begonnene strategische Überprüfung der Koenig &amp; Bauer </w:t>
      </w:r>
      <w:proofErr w:type="spellStart"/>
      <w:r>
        <w:rPr>
          <w:highlight w:val="white"/>
        </w:rPr>
        <w:t>Coding</w:t>
      </w:r>
      <w:proofErr w:type="spellEnd"/>
      <w:r>
        <w:rPr>
          <w:highlight w:val="white"/>
        </w:rPr>
        <w:t xml:space="preserve"> GmbH abgeschlossen. Nach der detaillierten Prüfung mehrerer Optionen hat das Unternehmen entschieden, das </w:t>
      </w:r>
      <w:proofErr w:type="spellStart"/>
      <w:r>
        <w:rPr>
          <w:highlight w:val="white"/>
        </w:rPr>
        <w:t>Coding</w:t>
      </w:r>
      <w:proofErr w:type="spellEnd"/>
      <w:r>
        <w:rPr>
          <w:highlight w:val="white"/>
        </w:rPr>
        <w:t>-Geschäft in Eigenregie fortzuführen. Dieser Schritt unterstreicht die tiefe Überzeugung von der Zukunft dieses dynamischen Wachstumsmarktes, der weiterhin hochattraktiv ist: Trends wie die GS1 2D-Migration (Ziel bis 2027) und der digitale Produktpass (DPP; schrittweise Einführung ab 2027) treiben tiefgreifende Marktveränderungen voran. Die rasant steigende Datenmenge sichert dabei eine langfristige Nachfrage nach High-End-</w:t>
      </w:r>
      <w:proofErr w:type="spellStart"/>
      <w:r>
        <w:rPr>
          <w:highlight w:val="white"/>
        </w:rPr>
        <w:t>Coding</w:t>
      </w:r>
      <w:proofErr w:type="spellEnd"/>
      <w:r>
        <w:rPr>
          <w:highlight w:val="white"/>
        </w:rPr>
        <w:t xml:space="preserve">. Um das volle Potenzial zu entfalten und künftig noch stärker an diesem </w:t>
      </w:r>
      <w:r>
        <w:rPr>
          <w:highlight w:val="white"/>
        </w:rPr>
        <w:lastRenderedPageBreak/>
        <w:t xml:space="preserve">Marktwachstum zu partizipieren, wird Koenig &amp; Bauer in diesem Bereich gezielt strategische Kooperationen eruieren. Im Handlungsfeld </w:t>
      </w:r>
      <w:proofErr w:type="spellStart"/>
      <w:r>
        <w:rPr>
          <w:highlight w:val="white"/>
        </w:rPr>
        <w:t>Intelligence</w:t>
      </w:r>
      <w:proofErr w:type="spellEnd"/>
      <w:r>
        <w:rPr>
          <w:highlight w:val="white"/>
        </w:rPr>
        <w:t xml:space="preserve"> forciert Koenig &amp; Bauer seine KI-Transformation in Aktion: CFO Dr. Alexander Blum präsentierte im direkten Austausch im Google Cloud Space München sowie als </w:t>
      </w:r>
      <w:proofErr w:type="spellStart"/>
      <w:r>
        <w:rPr>
          <w:highlight w:val="white"/>
        </w:rPr>
        <w:t>Keynote</w:t>
      </w:r>
      <w:proofErr w:type="spellEnd"/>
      <w:r>
        <w:rPr>
          <w:highlight w:val="white"/>
        </w:rPr>
        <w:t>-Speaker auf einer weiteren Veranstaltung das „Koenig &amp; Bauer AI Champion“-Modell sowie „</w:t>
      </w:r>
      <w:proofErr w:type="spellStart"/>
      <w:r>
        <w:rPr>
          <w:highlight w:val="white"/>
        </w:rPr>
        <w:t>Agentic</w:t>
      </w:r>
      <w:proofErr w:type="spellEnd"/>
      <w:r>
        <w:rPr>
          <w:highlight w:val="white"/>
        </w:rPr>
        <w:t xml:space="preserve"> AI@K&amp;B“. Diese Initiativen unterstreichen die Innovationskraft des Konzerns, interne Prozesse durch den gezielten Einsatz von Künstlicher Intelligenz zukunftsweisend zu gestalten und signifikant zu beschleunigen.</w:t>
      </w:r>
    </w:p>
    <w:p w:rsidR="006C288B" w:rsidRDefault="00122595">
      <w:pPr>
        <w:pBdr>
          <w:top w:val="nil"/>
          <w:left w:val="nil"/>
          <w:bottom w:val="nil"/>
          <w:right w:val="nil"/>
          <w:between w:val="nil"/>
        </w:pBdr>
        <w:spacing w:before="240"/>
        <w:rPr>
          <w:color w:val="0A0F0A"/>
          <w:highlight w:val="white"/>
        </w:rPr>
      </w:pPr>
      <w:r>
        <w:rPr>
          <w:b/>
          <w:bCs/>
          <w:color w:val="002355"/>
        </w:rPr>
        <w:t xml:space="preserve">Ausblick 2026: Stabiler Geschäftsverlauf und Umstellung der </w:t>
      </w:r>
      <w:proofErr w:type="spellStart"/>
      <w:r>
        <w:rPr>
          <w:b/>
          <w:bCs/>
          <w:color w:val="002355"/>
        </w:rPr>
        <w:t>Guidance</w:t>
      </w:r>
      <w:proofErr w:type="spellEnd"/>
      <w:r>
        <w:rPr>
          <w:sz w:val="22"/>
          <w:szCs w:val="22"/>
        </w:rPr>
        <w:t xml:space="preserve"> </w:t>
      </w:r>
      <w:r>
        <w:rPr>
          <w:sz w:val="22"/>
          <w:szCs w:val="22"/>
        </w:rPr>
        <w:br/>
      </w:r>
      <w:r>
        <w:rPr>
          <w:color w:val="0A0F0A"/>
          <w:highlight w:val="white"/>
        </w:rPr>
        <w:t>Für das Geschäftsjahr 2026 erwartet Koenig &amp; Bauer eine Fortsetzung der operativen Stabilität.</w:t>
      </w:r>
    </w:p>
    <w:p w:rsidR="006C288B" w:rsidRDefault="00122595">
      <w:pPr>
        <w:pBdr>
          <w:top w:val="nil"/>
          <w:left w:val="nil"/>
          <w:bottom w:val="nil"/>
          <w:right w:val="nil"/>
          <w:between w:val="nil"/>
        </w:pBdr>
        <w:spacing w:before="240"/>
        <w:rPr>
          <w:color w:val="0A0F0A"/>
          <w:highlight w:val="white"/>
        </w:rPr>
      </w:pPr>
      <w:r>
        <w:rPr>
          <w:color w:val="0A0F0A"/>
          <w:highlight w:val="white"/>
        </w:rPr>
        <w:t xml:space="preserve">„Unser Orderbuch von über einer Milliarde Euro und der höchste Q1-Auftragseingang seit zwei Jahren federn externe Marktwiderstände ab und sichern uns eine hohe Planungssicherheit“, betont CFO Dr. Alexander Blum. „Die operative Kehrtwende im Segment S&amp;T kompensiert den aktuellen Ertragsdruck im P&amp;P-Bereich und untermauert die Erreichung unserer Jahresziele.“ </w:t>
      </w:r>
    </w:p>
    <w:p w:rsidR="006C288B" w:rsidRDefault="00122595">
      <w:pPr>
        <w:pBdr>
          <w:top w:val="nil"/>
          <w:left w:val="nil"/>
          <w:bottom w:val="nil"/>
          <w:right w:val="nil"/>
          <w:between w:val="nil"/>
        </w:pBdr>
        <w:spacing w:before="240"/>
      </w:pPr>
      <w:r>
        <w:rPr>
          <w:color w:val="0A0F0A"/>
          <w:highlight w:val="white"/>
        </w:rPr>
        <w:t>Unter der Annahme, dass die weltwirtschaftliche Entwicklung in den relevanten Märkten stabil bleibt und zeitnah Klarheit hinsichtlich möglicher weiterer US-Einfuhrzölle besteht, prognostiziert der Vorstand für 2026 einen Konzernumsatz auf Vorjahresniveau sowie ein operatives EBITDA von circa 80 Mio. € wie im Vorjahr. Die Prognose steht unter dem Vorbehalt, dass es zu keiner weiteren signifikanten Eintrübung des globalen Investitionsklimas durch anhaltende geopolitische Spannungen kommt.</w:t>
      </w:r>
    </w:p>
    <w:p w:rsidR="006C288B" w:rsidRDefault="006C288B"/>
    <w:p w:rsidR="006C288B" w:rsidRDefault="00311EB5">
      <w:hyperlink r:id="rId7" w:history="1">
        <w:r w:rsidR="00122595" w:rsidRPr="00FD7528">
          <w:rPr>
            <w:rStyle w:val="Hyperlink"/>
          </w:rPr>
          <w:t>Zahlen auf einen Blick</w:t>
        </w:r>
      </w:hyperlink>
    </w:p>
    <w:p w:rsidR="006C288B" w:rsidRDefault="00122595">
      <w:r>
        <w:t xml:space="preserve">Die Mitteilung für das erste Quartal 2026 steht als PDF-Download </w:t>
      </w:r>
      <w:hyperlink r:id="rId8" w:history="1">
        <w:r w:rsidRPr="00FD7528">
          <w:rPr>
            <w:rStyle w:val="Hyperlink"/>
          </w:rPr>
          <w:t>hier</w:t>
        </w:r>
      </w:hyperlink>
      <w:r>
        <w:t xml:space="preserve"> zur Verfügung.</w:t>
      </w:r>
    </w:p>
    <w:p w:rsidR="006C288B" w:rsidRDefault="006C288B">
      <w:pPr>
        <w:pStyle w:val="berschrift5"/>
      </w:pPr>
      <w:bookmarkStart w:id="4" w:name="_ap7b4r9qhnl5" w:colFirst="0" w:colLast="0"/>
      <w:bookmarkEnd w:id="4"/>
    </w:p>
    <w:p w:rsidR="006C288B" w:rsidRDefault="00122595">
      <w:pPr>
        <w:pStyle w:val="berschrift5"/>
      </w:pPr>
      <w:bookmarkStart w:id="5" w:name="_2et92p0" w:colFirst="0" w:colLast="0"/>
      <w:bookmarkEnd w:id="5"/>
      <w:r>
        <w:t>Foto:</w:t>
      </w:r>
    </w:p>
    <w:p w:rsidR="006C288B" w:rsidRDefault="00122595">
      <w:pPr>
        <w:rPr>
          <w:sz w:val="22"/>
          <w:szCs w:val="22"/>
        </w:rPr>
      </w:pPr>
      <w:r>
        <w:rPr>
          <w:b/>
          <w:bCs/>
        </w:rPr>
        <w:t>Konsequente Umsetzung im Fokus:</w:t>
      </w:r>
      <w:r>
        <w:t xml:space="preserve"> Der strategische Leitfaden „IMPACT“ treibt die Transformation bei Koenig &amp; Bauer aktiv voran. Das namensgebende Akronym bündelt die sechs zentralen Handlungsfelder als integrales System – </w:t>
      </w:r>
      <w:proofErr w:type="spellStart"/>
      <w:r>
        <w:t>Intelligence</w:t>
      </w:r>
      <w:proofErr w:type="spellEnd"/>
      <w:r>
        <w:t>, Go-</w:t>
      </w:r>
      <w:proofErr w:type="spellStart"/>
      <w:r>
        <w:t>To</w:t>
      </w:r>
      <w:proofErr w:type="spellEnd"/>
      <w:r>
        <w:t xml:space="preserve">-Market, People, </w:t>
      </w:r>
      <w:proofErr w:type="spellStart"/>
      <w:r>
        <w:t>Adaptability</w:t>
      </w:r>
      <w:proofErr w:type="spellEnd"/>
      <w:r>
        <w:t xml:space="preserve">, </w:t>
      </w:r>
      <w:proofErr w:type="spellStart"/>
      <w:r>
        <w:t>Competitiveness</w:t>
      </w:r>
      <w:proofErr w:type="spellEnd"/>
      <w:r>
        <w:t xml:space="preserve"> und Technology –, um die operative Resilienz und die langfristige Wettbewerbsfähigkeit des Konzerns in einem volatilen Marktumfeld nachhaltig zu sichern. © Koenig &amp; Bauer</w:t>
      </w:r>
      <w:r>
        <w:br/>
      </w:r>
    </w:p>
    <w:p w:rsidR="006C288B" w:rsidRDefault="006C288B">
      <w:pPr>
        <w:pStyle w:val="berschrift4"/>
      </w:pPr>
      <w:bookmarkStart w:id="6" w:name="_onh4ymnleuxc" w:colFirst="0" w:colLast="0"/>
      <w:bookmarkEnd w:id="6"/>
    </w:p>
    <w:p w:rsidR="006C288B" w:rsidRDefault="00122595">
      <w:pPr>
        <w:pStyle w:val="berschrift4"/>
      </w:pPr>
      <w:bookmarkStart w:id="7" w:name="_c398knssqtt8" w:colFirst="0" w:colLast="0"/>
      <w:bookmarkEnd w:id="7"/>
      <w:r>
        <w:t>Ansprechpartnerin für Investor Relations</w:t>
      </w:r>
    </w:p>
    <w:p w:rsidR="006C288B" w:rsidRDefault="00122595">
      <w:r>
        <w:t>Koenig &amp; Bauer AG</w:t>
      </w:r>
      <w:r>
        <w:br/>
        <w:t xml:space="preserve">Lena </w:t>
      </w:r>
      <w:proofErr w:type="spellStart"/>
      <w:r>
        <w:t>Landenberger</w:t>
      </w:r>
      <w:proofErr w:type="spellEnd"/>
      <w:r>
        <w:br/>
        <w:t>+49 931 909 4085</w:t>
      </w:r>
      <w:r>
        <w:br/>
      </w:r>
      <w:hyperlink r:id="rId9">
        <w:r>
          <w:rPr>
            <w:color w:val="1155CC"/>
            <w:u w:val="single"/>
          </w:rPr>
          <w:t>lena.landenberger@koenig-bauer.com</w:t>
        </w:r>
      </w:hyperlink>
    </w:p>
    <w:p w:rsidR="006C288B" w:rsidRDefault="00122595">
      <w:pPr>
        <w:pStyle w:val="berschrift4"/>
      </w:pPr>
      <w:bookmarkStart w:id="8" w:name="_9rn9atyzc5pa" w:colFirst="0" w:colLast="0"/>
      <w:bookmarkEnd w:id="8"/>
      <w:r>
        <w:t>Ansprechpartnerin für Presse</w:t>
      </w:r>
    </w:p>
    <w:p w:rsidR="006C288B" w:rsidRDefault="00122595" w:rsidP="00D355B8">
      <w:r>
        <w:t>Koenig &amp; Bauer AG</w:t>
      </w:r>
      <w:r>
        <w:br/>
        <w:t>Dagmar Ringel</w:t>
      </w:r>
      <w:r>
        <w:br/>
        <w:t>+49 931 909 6756</w:t>
      </w:r>
      <w:r>
        <w:br/>
      </w:r>
      <w:hyperlink r:id="rId10">
        <w:r>
          <w:rPr>
            <w:color w:val="1155CC"/>
            <w:u w:val="single"/>
          </w:rPr>
          <w:t>dagmar.ringel@koenig-bauer.com</w:t>
        </w:r>
      </w:hyperlink>
    </w:p>
    <w:p w:rsidR="006C288B" w:rsidRDefault="00122595">
      <w:pPr>
        <w:pStyle w:val="berschrift4"/>
      </w:pPr>
      <w:bookmarkStart w:id="9" w:name="_1wxqedid8pv3" w:colFirst="0" w:colLast="0"/>
      <w:bookmarkEnd w:id="9"/>
      <w:r>
        <w:lastRenderedPageBreak/>
        <w:t>Über Koenig &amp; Bauer</w:t>
      </w:r>
    </w:p>
    <w:p w:rsidR="006C288B" w:rsidRDefault="00122595">
      <w:r>
        <w:t>Koenig &amp; Bauer mit Sitz in Würzburg (Deutschland) ist ein weltweit tätiger Druckmaschinenhersteller. Das Unternehmen produziert Maschinen und Software-Lösungen für den gesamten Prozess von Druck und Weiterverarbeitung, schwerpunktmäßig im Bereich der Verpackungen. Anlagen von Koenig &amp; Bauer können nahezu alle Substrate bedrucken – das Portfolio reicht von Banknoten über Karton-, Wellpappe-, Folien-, Blech- und Glasverpackungen bis hin zum Bücher-, Display-, Kennzeichnungs-, Dekor-, Magazin-, Werbe- und Zeitungsdruck. Mit einer über 200-jährigen Geschichte ist Koenig &amp; Bauer der älteste Druckmaschinenhersteller der Welt und beherrscht heute fast alle Druckverfahren. Im gesamten Konzern arbeiten rund 5.500 Menschen. Koenig &amp; Bauer produziert an elf Standorten in Europa und unterhält ein weltweites Vertriebs- und Servicenetzwerk. Der Konzernumsatz im Geschäftsjahr 2025 lag bei rund 1,3 Milliarden Euro.</w:t>
      </w:r>
    </w:p>
    <w:p w:rsidR="006C288B" w:rsidRDefault="00122595">
      <w:r>
        <w:t>Weitere Informationen unter</w:t>
      </w:r>
      <w:hyperlink r:id="rId11">
        <w:r>
          <w:rPr>
            <w:color w:val="1155CC"/>
            <w:u w:val="single"/>
          </w:rPr>
          <w:t xml:space="preserve"> www.koenig-bauer.com</w:t>
        </w:r>
      </w:hyperlink>
    </w:p>
    <w:p w:rsidR="006C288B" w:rsidRDefault="006C288B"/>
    <w:sectPr w:rsidR="006C288B">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595" w:rsidRDefault="00122595">
      <w:pPr>
        <w:spacing w:after="0" w:line="240" w:lineRule="auto"/>
      </w:pPr>
      <w:r>
        <w:separator/>
      </w:r>
    </w:p>
  </w:endnote>
  <w:endnote w:type="continuationSeparator" w:id="0">
    <w:p w:rsidR="00122595" w:rsidRDefault="0012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B58C4A-F68F-4666-B1D8-687A79591460}"/>
  </w:font>
  <w:font w:name="Cambria">
    <w:panose1 w:val="02040503050406030204"/>
    <w:charset w:val="00"/>
    <w:family w:val="roman"/>
    <w:pitch w:val="variable"/>
    <w:sig w:usb0="E00006FF" w:usb1="420024FF" w:usb2="02000000" w:usb3="00000000" w:csb0="0000019F" w:csb1="00000000"/>
    <w:embedRegular r:id="rId2" w:fontKey="{1DD7538A-4B81-4CBE-A58D-3603A28861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88B" w:rsidRDefault="00122595">
    <w:pPr>
      <w:jc w:val="right"/>
    </w:pPr>
    <w:r>
      <w:rPr>
        <w:sz w:val="14"/>
        <w:szCs w:val="14"/>
      </w:rPr>
      <w:t xml:space="preserve">Koenig &amp; Bauer startet mit hoher Dynamik in das Jahr 2026: Massiver Anstieg im Auftragseingang und erfolgreicher Turnaround im Segment S&amp;T  | </w:t>
    </w:r>
    <w:r>
      <w:rPr>
        <w:sz w:val="14"/>
        <w:szCs w:val="14"/>
      </w:rPr>
      <w:fldChar w:fldCharType="begin"/>
    </w:r>
    <w:r>
      <w:rPr>
        <w:sz w:val="14"/>
        <w:szCs w:val="14"/>
      </w:rPr>
      <w:instrText>PAGE</w:instrText>
    </w:r>
    <w:r>
      <w:rPr>
        <w:sz w:val="14"/>
        <w:szCs w:val="14"/>
      </w:rPr>
      <w:fldChar w:fldCharType="separate"/>
    </w:r>
    <w:r w:rsidR="00311EB5">
      <w:rPr>
        <w:noProof/>
        <w:sz w:val="14"/>
        <w:szCs w:val="14"/>
      </w:rPr>
      <w:t>4</w:t>
    </w:r>
    <w:r>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595" w:rsidRDefault="00122595">
      <w:pPr>
        <w:spacing w:after="0" w:line="240" w:lineRule="auto"/>
      </w:pPr>
      <w:r>
        <w:separator/>
      </w:r>
    </w:p>
  </w:footnote>
  <w:footnote w:type="continuationSeparator" w:id="0">
    <w:p w:rsidR="00122595" w:rsidRDefault="00122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88B" w:rsidRDefault="00122595">
    <w:pPr>
      <w:jc w:val="center"/>
    </w:pPr>
    <w:r>
      <w:rPr>
        <w:noProof/>
        <w:lang w:val="de-DE"/>
      </w:rPr>
      <w:drawing>
        <wp:inline distT="114300" distB="114300" distL="114300" distR="114300">
          <wp:extent cx="2592000" cy="2184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92000" cy="21846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D67108"/>
    <w:multiLevelType w:val="multilevel"/>
    <w:tmpl w:val="08142B54"/>
    <w:lvl w:ilvl="0">
      <w:start w:val="1"/>
      <w:numFmt w:val="bullet"/>
      <w:lvlText w:val="•"/>
      <w:lvlJc w:val="left"/>
      <w:pPr>
        <w:ind w:left="340" w:hanging="340"/>
      </w:pPr>
      <w:rPr>
        <w:u w:val="none"/>
      </w:rPr>
    </w:lvl>
    <w:lvl w:ilvl="1">
      <w:start w:val="1"/>
      <w:numFmt w:val="bullet"/>
      <w:lvlText w:val="•"/>
      <w:lvlJc w:val="left"/>
      <w:pPr>
        <w:ind w:left="680" w:hanging="340"/>
      </w:pPr>
      <w:rPr>
        <w:u w:val="none"/>
      </w:rPr>
    </w:lvl>
    <w:lvl w:ilvl="2">
      <w:start w:val="1"/>
      <w:numFmt w:val="bullet"/>
      <w:lvlText w:val="•"/>
      <w:lvlJc w:val="left"/>
      <w:pPr>
        <w:ind w:left="1020" w:hanging="340"/>
      </w:pPr>
      <w:rPr>
        <w:u w:val="none"/>
      </w:rPr>
    </w:lvl>
    <w:lvl w:ilvl="3">
      <w:start w:val="1"/>
      <w:numFmt w:val="bullet"/>
      <w:lvlText w:val="•"/>
      <w:lvlJc w:val="left"/>
      <w:pPr>
        <w:ind w:left="1360" w:hanging="340"/>
      </w:pPr>
      <w:rPr>
        <w:u w:val="none"/>
      </w:rPr>
    </w:lvl>
    <w:lvl w:ilvl="4">
      <w:start w:val="1"/>
      <w:numFmt w:val="bullet"/>
      <w:lvlText w:val="•"/>
      <w:lvlJc w:val="left"/>
      <w:pPr>
        <w:ind w:left="1700" w:hanging="340"/>
      </w:pPr>
      <w:rPr>
        <w:u w:val="none"/>
      </w:rPr>
    </w:lvl>
    <w:lvl w:ilvl="5">
      <w:start w:val="1"/>
      <w:numFmt w:val="bullet"/>
      <w:lvlText w:val="•"/>
      <w:lvlJc w:val="left"/>
      <w:pPr>
        <w:ind w:left="2040" w:hanging="340"/>
      </w:pPr>
      <w:rPr>
        <w:u w:val="none"/>
      </w:rPr>
    </w:lvl>
    <w:lvl w:ilvl="6">
      <w:start w:val="1"/>
      <w:numFmt w:val="bullet"/>
      <w:lvlText w:val="•"/>
      <w:lvlJc w:val="left"/>
      <w:pPr>
        <w:ind w:left="2380" w:hanging="340"/>
      </w:pPr>
      <w:rPr>
        <w:u w:val="none"/>
      </w:rPr>
    </w:lvl>
    <w:lvl w:ilvl="7">
      <w:start w:val="1"/>
      <w:numFmt w:val="bullet"/>
      <w:lvlText w:val="•"/>
      <w:lvlJc w:val="left"/>
      <w:pPr>
        <w:ind w:left="2720" w:hanging="340"/>
      </w:pPr>
      <w:rPr>
        <w:u w:val="none"/>
      </w:rPr>
    </w:lvl>
    <w:lvl w:ilvl="8">
      <w:start w:val="1"/>
      <w:numFmt w:val="bullet"/>
      <w:lvlText w:val="•"/>
      <w:lvlJc w:val="left"/>
      <w:pPr>
        <w:ind w:left="3060" w:hanging="34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88B"/>
    <w:rsid w:val="00122595"/>
    <w:rsid w:val="00311EB5"/>
    <w:rsid w:val="006C288B"/>
    <w:rsid w:val="00D355B8"/>
    <w:rsid w:val="00DB4659"/>
    <w:rsid w:val="00FD75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86907"/>
  <w15:docId w15:val="{21DE0984-10A0-4419-8F68-DD12A3056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de" w:eastAsia="de-DE"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tabs>
        <w:tab w:val="left" w:pos="850"/>
      </w:tabs>
      <w:spacing w:before="480" w:line="240" w:lineRule="auto"/>
      <w:outlineLvl w:val="0"/>
    </w:pPr>
    <w:rPr>
      <w:b/>
      <w:bCs/>
      <w:color w:val="002355"/>
      <w:sz w:val="40"/>
      <w:szCs w:val="40"/>
    </w:rPr>
  </w:style>
  <w:style w:type="paragraph" w:styleId="berschrift2">
    <w:name w:val="heading 2"/>
    <w:basedOn w:val="Standard"/>
    <w:next w:val="Standard"/>
    <w:pPr>
      <w:keepNext/>
      <w:keepLines/>
      <w:outlineLvl w:val="1"/>
    </w:pPr>
    <w:rPr>
      <w:b/>
      <w:bCs/>
      <w:color w:val="002355"/>
      <w:sz w:val="28"/>
      <w:szCs w:val="28"/>
    </w:rPr>
  </w:style>
  <w:style w:type="paragraph" w:styleId="berschrift3">
    <w:name w:val="heading 3"/>
    <w:basedOn w:val="Standard"/>
    <w:next w:val="Standard"/>
    <w:pPr>
      <w:keepNext/>
      <w:keepLines/>
      <w:spacing w:after="0"/>
      <w:outlineLvl w:val="2"/>
    </w:pPr>
    <w:rPr>
      <w:b/>
      <w:bCs/>
      <w:color w:val="002355"/>
    </w:rPr>
  </w:style>
  <w:style w:type="paragraph" w:styleId="berschrift4">
    <w:name w:val="heading 4"/>
    <w:basedOn w:val="Standard"/>
    <w:next w:val="Standard"/>
    <w:pPr>
      <w:keepNext/>
      <w:keepLines/>
      <w:spacing w:after="0"/>
      <w:outlineLvl w:val="3"/>
    </w:pPr>
    <w:rPr>
      <w:b/>
      <w:bCs/>
    </w:rPr>
  </w:style>
  <w:style w:type="paragraph" w:styleId="berschrift5">
    <w:name w:val="heading 5"/>
    <w:basedOn w:val="Standard"/>
    <w:next w:val="Standard"/>
    <w:pPr>
      <w:keepNext/>
      <w:keepLines/>
      <w:spacing w:after="0"/>
      <w:outlineLvl w:val="4"/>
    </w:pPr>
    <w:rPr>
      <w:b/>
      <w:bCs/>
    </w:rPr>
  </w:style>
  <w:style w:type="paragraph" w:styleId="berschrift6">
    <w:name w:val="heading 6"/>
    <w:basedOn w:val="Standard"/>
    <w:next w:val="Standard"/>
    <w:pPr>
      <w:keepNext/>
      <w:keepLines/>
      <w:spacing w:before="240" w:after="80"/>
      <w:outlineLvl w:val="5"/>
    </w:pPr>
    <w:rPr>
      <w:i/>
      <w:iCs/>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line="240" w:lineRule="auto"/>
    </w:pPr>
    <w:rPr>
      <w:color w:val="002355"/>
      <w:sz w:val="28"/>
      <w:szCs w:val="28"/>
    </w:rPr>
  </w:style>
  <w:style w:type="character" w:styleId="Hyperlink">
    <w:name w:val="Hyperlink"/>
    <w:basedOn w:val="Absatz-Standardschriftart"/>
    <w:uiPriority w:val="99"/>
    <w:unhideWhenUsed/>
    <w:rsid w:val="00FD7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investors.koenig-bauer.com/fileadmin/user_upload/04_Unternehmen/Investor_Relations/Berichte/Berichte_2026_q1/26-05-06-ir-statement-q1-2026-de.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nvestors.koenig-bauer.com/fileadmin/user_upload/04_Unternehmen/Investor_Relations/Berichte/Berichte_2026_q1/26-05-06-ir-group-key-figures-q1-2026-de.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enig-bauer.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ena.landenberger@koenig-bauer.com" TargetMode="External"/><Relationship Id="rId4" Type="http://schemas.openxmlformats.org/officeDocument/2006/relationships/webSettings" Target="webSettings.xml"/><Relationship Id="rId9" Type="http://schemas.openxmlformats.org/officeDocument/2006/relationships/hyperlink" Target="mailto:lena.landenberger@koenig-bau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1426</Words>
  <Characters>8985</Characters>
  <Application>Microsoft Office Word</Application>
  <DocSecurity>0</DocSecurity>
  <Lines>74</Lines>
  <Paragraphs>20</Paragraphs>
  <ScaleCrop>false</ScaleCrop>
  <Company>KOENIG &amp; BAUER AG</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Rügamer, René (ZFI)</cp:lastModifiedBy>
  <cp:revision>5</cp:revision>
  <dcterms:created xsi:type="dcterms:W3CDTF">2026-05-05T19:16:00Z</dcterms:created>
  <dcterms:modified xsi:type="dcterms:W3CDTF">2026-05-06T05:13:00Z</dcterms:modified>
</cp:coreProperties>
</file>